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806E" w14:textId="77777777" w:rsidR="00F80DFB" w:rsidRDefault="00624513">
      <w:pPr>
        <w:spacing w:after="35" w:line="216" w:lineRule="auto"/>
        <w:ind w:right="7930" w:hanging="1"/>
      </w:pPr>
      <w:r>
        <w:rPr>
          <w:noProof/>
          <w:lang w:val="en-CA" w:eastAsia="en-CA"/>
        </w:rPr>
        <w:drawing>
          <wp:inline distT="0" distB="0" distL="0" distR="0" wp14:anchorId="29B69210" wp14:editId="5C0E2AA1">
            <wp:extent cx="899160" cy="89916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899160" cy="899160"/>
                    </a:xfrm>
                    <a:prstGeom prst="rect">
                      <a:avLst/>
                    </a:prstGeom>
                  </pic:spPr>
                </pic:pic>
              </a:graphicData>
            </a:graphic>
          </wp:inline>
        </w:drawing>
      </w:r>
      <w:r>
        <w:rPr>
          <w:b/>
          <w:color w:val="0F243E"/>
          <w:sz w:val="28"/>
        </w:rPr>
        <w:t xml:space="preserve">  </w:t>
      </w:r>
    </w:p>
    <w:p w14:paraId="52754942" w14:textId="477AFAE2" w:rsidR="004D4504" w:rsidRPr="004D4504" w:rsidRDefault="004D4504" w:rsidP="004D4504">
      <w:pPr>
        <w:spacing w:after="224" w:line="239" w:lineRule="auto"/>
        <w:jc w:val="center"/>
        <w:rPr>
          <w:lang w:val="pt-PT"/>
        </w:rPr>
      </w:pPr>
      <w:r w:rsidRPr="004D4504">
        <w:rPr>
          <w:b/>
          <w:color w:val="0F243E"/>
          <w:sz w:val="28"/>
          <w:lang w:val="pt-PT"/>
        </w:rPr>
        <w:t xml:space="preserve">International Actuarial Association (IAA) Grupo de Trabalho de Mortalidade </w:t>
      </w:r>
      <w:r>
        <w:rPr>
          <w:b/>
          <w:color w:val="0F243E"/>
          <w:sz w:val="28"/>
          <w:lang w:val="pt-PT"/>
        </w:rPr>
        <w:t>Atualização</w:t>
      </w:r>
      <w:r w:rsidRPr="004D4504">
        <w:rPr>
          <w:b/>
          <w:color w:val="0F243E"/>
          <w:sz w:val="28"/>
          <w:lang w:val="pt-PT"/>
        </w:rPr>
        <w:t xml:space="preserve"> #7 — </w:t>
      </w:r>
      <w:r>
        <w:rPr>
          <w:b/>
          <w:color w:val="0F243E"/>
          <w:sz w:val="28"/>
          <w:lang w:val="pt-PT"/>
        </w:rPr>
        <w:t>S</w:t>
      </w:r>
      <w:r w:rsidRPr="004D4504">
        <w:rPr>
          <w:b/>
          <w:color w:val="0F243E"/>
          <w:sz w:val="28"/>
          <w:lang w:val="pt-PT"/>
        </w:rPr>
        <w:t>. Petersburg</w:t>
      </w:r>
      <w:r>
        <w:rPr>
          <w:b/>
          <w:color w:val="0F243E"/>
          <w:sz w:val="28"/>
          <w:lang w:val="pt-PT"/>
        </w:rPr>
        <w:t>o</w:t>
      </w:r>
      <w:r w:rsidRPr="004D4504">
        <w:rPr>
          <w:b/>
          <w:color w:val="0F243E"/>
          <w:sz w:val="28"/>
          <w:lang w:val="pt-PT"/>
        </w:rPr>
        <w:t xml:space="preserve">, Russia, 2016 </w:t>
      </w:r>
    </w:p>
    <w:p w14:paraId="293DD13D" w14:textId="4390C95B" w:rsidR="00210C0E" w:rsidRPr="004D4504" w:rsidRDefault="00210C0E">
      <w:pPr>
        <w:spacing w:after="0"/>
        <w:rPr>
          <w:lang w:val="pt-PT"/>
        </w:rPr>
      </w:pPr>
    </w:p>
    <w:p w14:paraId="58A14DD7" w14:textId="44AC27A4" w:rsidR="000B0FDE" w:rsidRPr="004D4504" w:rsidRDefault="000B0FDE" w:rsidP="000B0FDE">
      <w:pPr>
        <w:spacing w:after="0"/>
        <w:rPr>
          <w:lang w:val="pt-PT"/>
        </w:rPr>
      </w:pPr>
      <w:r w:rsidRPr="004D4504">
        <w:rPr>
          <w:lang w:val="pt-PT"/>
        </w:rPr>
        <w:t>O Grupo de Trabalho de Mortalidade (MWG) reúne duas vezes por ano, como parte de um período de 5 dias de reuniões das comissões IAA e grupos de trabalho. A primeira reunião de 2016 teve lugar em St. Petersburg, Rússia em Maio de 2016 e este texto resume as discussões.</w:t>
      </w:r>
    </w:p>
    <w:p w14:paraId="64F7C333" w14:textId="77777777" w:rsidR="00DA1EB4" w:rsidRPr="004D4504" w:rsidRDefault="00DA1EB4" w:rsidP="00DA1EB4">
      <w:pPr>
        <w:spacing w:after="33" w:line="249" w:lineRule="auto"/>
        <w:ind w:left="-5" w:hanging="10"/>
      </w:pPr>
    </w:p>
    <w:p w14:paraId="24ECDA9F" w14:textId="344746EC" w:rsidR="00DA1EB4" w:rsidRPr="004D4504" w:rsidRDefault="00DA1EB4" w:rsidP="00DA1EB4">
      <w:pPr>
        <w:spacing w:after="33" w:line="249" w:lineRule="auto"/>
        <w:ind w:left="-5" w:hanging="10"/>
      </w:pPr>
      <w:r w:rsidRPr="004D4504">
        <w:rPr>
          <w:lang w:val="pt-PT"/>
        </w:rPr>
        <w:t xml:space="preserve">Houve 5 oradores convidados nesta reunião. </w:t>
      </w:r>
    </w:p>
    <w:p w14:paraId="75738EEC" w14:textId="77777777" w:rsidR="005E129F" w:rsidRPr="004D4504" w:rsidRDefault="005E129F" w:rsidP="000B0FDE">
      <w:pPr>
        <w:spacing w:after="0"/>
      </w:pPr>
    </w:p>
    <w:p w14:paraId="0542DC62" w14:textId="30AF815F" w:rsidR="000C3DDB" w:rsidRPr="00AE6FF5" w:rsidRDefault="000C3DDB" w:rsidP="00AE6FF5">
      <w:pPr>
        <w:pStyle w:val="ListParagraph"/>
        <w:numPr>
          <w:ilvl w:val="0"/>
          <w:numId w:val="5"/>
        </w:numPr>
        <w:spacing w:after="0"/>
        <w:rPr>
          <w:lang w:val="pt-PT"/>
        </w:rPr>
      </w:pPr>
      <w:r w:rsidRPr="00AE6FF5">
        <w:rPr>
          <w:lang w:val="pt-PT"/>
        </w:rPr>
        <w:t>Marius Pascariu, do Odense Centro Max Planck na biodemografia do Envelhecimento, da Universidade do Sul da Dinamarca, apresentou um documento demonstrando um novo método de estimativa de esperança de vida à nascença extrapolando duas variáveis, o hiato de gênero na população, e a diferença entre a  esperança de vida feminina e a esperança de vida na população total (LE) no país com o maior LE nesse ano.</w:t>
      </w:r>
    </w:p>
    <w:p w14:paraId="710D58E4" w14:textId="019BB488" w:rsidR="000C3DDB" w:rsidRPr="00AE6FF5" w:rsidRDefault="000C3DDB" w:rsidP="00AE6FF5">
      <w:pPr>
        <w:pStyle w:val="ListParagraph"/>
        <w:numPr>
          <w:ilvl w:val="0"/>
          <w:numId w:val="5"/>
        </w:numPr>
        <w:spacing w:after="0"/>
        <w:rPr>
          <w:lang w:val="pt-PT"/>
        </w:rPr>
      </w:pPr>
      <w:r w:rsidRPr="00AE6FF5">
        <w:rPr>
          <w:lang w:val="pt-PT"/>
        </w:rPr>
        <w:t>James Vaupel, um orador convidado do Instituto Max Planck de Pesquisa Demográfica apresentou um levantamento detalhado de possíveis desenvolvimentos futuros na esperança de vida. Sua apresentação apoiou a sua opinião de que a LE vai continuar a aumentar.</w:t>
      </w:r>
    </w:p>
    <w:p w14:paraId="281812FF" w14:textId="154F797D" w:rsidR="000C3DDB" w:rsidRPr="00AE6FF5" w:rsidRDefault="000C3DDB" w:rsidP="00AE6FF5">
      <w:pPr>
        <w:pStyle w:val="ListParagraph"/>
        <w:numPr>
          <w:ilvl w:val="0"/>
          <w:numId w:val="5"/>
        </w:numPr>
        <w:spacing w:after="0"/>
        <w:rPr>
          <w:lang w:val="pt-PT"/>
        </w:rPr>
      </w:pPr>
      <w:r w:rsidRPr="00AE6FF5">
        <w:rPr>
          <w:lang w:val="pt-PT"/>
        </w:rPr>
        <w:t>O Centro de Excelência de Investigação em Envelhecimento da População (Cepar) foi descrito por Michael Sherris.</w:t>
      </w:r>
    </w:p>
    <w:p w14:paraId="3E9D9754" w14:textId="545895BC" w:rsidR="000C3DDB" w:rsidRPr="00AE6FF5" w:rsidRDefault="000C3DDB" w:rsidP="00AE6FF5">
      <w:pPr>
        <w:pStyle w:val="ListParagraph"/>
        <w:numPr>
          <w:ilvl w:val="0"/>
          <w:numId w:val="5"/>
        </w:numPr>
        <w:spacing w:after="0"/>
        <w:rPr>
          <w:lang w:val="pt-PT"/>
        </w:rPr>
      </w:pPr>
      <w:r w:rsidRPr="00AE6FF5">
        <w:rPr>
          <w:lang w:val="pt-PT"/>
        </w:rPr>
        <w:t>Haverá um "Workshop de Old Age em Sydney, Austrália, em fevereiro de 2017.</w:t>
      </w:r>
    </w:p>
    <w:p w14:paraId="3EC3516D" w14:textId="254B0A1D" w:rsidR="000C3DDB" w:rsidRPr="00AE6FF5" w:rsidRDefault="000C3DDB" w:rsidP="00AE6FF5">
      <w:pPr>
        <w:pStyle w:val="ListParagraph"/>
        <w:numPr>
          <w:ilvl w:val="0"/>
          <w:numId w:val="5"/>
        </w:numPr>
        <w:spacing w:after="0"/>
        <w:rPr>
          <w:lang w:val="pt-PT"/>
        </w:rPr>
      </w:pPr>
      <w:r w:rsidRPr="00AE6FF5">
        <w:rPr>
          <w:lang w:val="pt-PT"/>
        </w:rPr>
        <w:t>Dmitry Pomaskin, da Associação Russa de Atuários, forneceu informações sobre determinados temas de trabalho atualmente em curso na Rússia</w:t>
      </w:r>
    </w:p>
    <w:p w14:paraId="66178941" w14:textId="56D06A64" w:rsidR="000C3DDB" w:rsidRPr="00AE6FF5" w:rsidRDefault="000C3DDB" w:rsidP="00AE6FF5">
      <w:pPr>
        <w:pStyle w:val="ListParagraph"/>
        <w:numPr>
          <w:ilvl w:val="0"/>
          <w:numId w:val="5"/>
        </w:numPr>
        <w:spacing w:after="0"/>
        <w:rPr>
          <w:lang w:val="pt-PT"/>
        </w:rPr>
      </w:pPr>
      <w:r w:rsidRPr="00AE6FF5">
        <w:rPr>
          <w:lang w:val="pt-PT"/>
        </w:rPr>
        <w:t>O papel da Associação Internacional de Supervisores de Seguros (IAIS) foi discutido por Jules Gribble. Eles têm um interesse particular sobre o impacto das pressões de mortalidade.</w:t>
      </w:r>
    </w:p>
    <w:p w14:paraId="0D6A982D" w14:textId="77777777" w:rsidR="000B0FDE" w:rsidRPr="004D4504" w:rsidRDefault="000B0FDE" w:rsidP="000B0FDE">
      <w:pPr>
        <w:spacing w:after="0"/>
        <w:rPr>
          <w:lang w:val="pt-PT"/>
        </w:rPr>
      </w:pPr>
    </w:p>
    <w:p w14:paraId="55DC6BB9" w14:textId="77777777" w:rsidR="00487AB4" w:rsidRPr="004D4504" w:rsidRDefault="00487AB4" w:rsidP="00487AB4">
      <w:pPr>
        <w:spacing w:after="0"/>
        <w:rPr>
          <w:lang w:val="pt-PT"/>
        </w:rPr>
      </w:pPr>
      <w:r w:rsidRPr="004D4504">
        <w:rPr>
          <w:lang w:val="pt-PT"/>
        </w:rPr>
        <w:t>Outros tópicos nesta reunião incluiram:</w:t>
      </w:r>
    </w:p>
    <w:p w14:paraId="041D8109" w14:textId="60E34FB3" w:rsidR="00487AB4" w:rsidRPr="00AE6FF5" w:rsidRDefault="00487AB4" w:rsidP="00AE6FF5">
      <w:pPr>
        <w:pStyle w:val="ListParagraph"/>
        <w:numPr>
          <w:ilvl w:val="0"/>
          <w:numId w:val="6"/>
        </w:numPr>
        <w:spacing w:after="0"/>
        <w:rPr>
          <w:lang w:val="pt-PT"/>
        </w:rPr>
      </w:pPr>
      <w:r w:rsidRPr="00AE6FF5">
        <w:rPr>
          <w:lang w:val="pt-PT"/>
        </w:rPr>
        <w:t>Futuro da Base de Dados de Mortalidade Humana (HMD) – o financiamento continua a ser um enorme problema. A existência futura da HMD está em risco.</w:t>
      </w:r>
    </w:p>
    <w:p w14:paraId="7AEBEE2A" w14:textId="686E6CF4" w:rsidR="00487AB4" w:rsidRPr="00AE6FF5" w:rsidRDefault="00487AB4" w:rsidP="00AE6FF5">
      <w:pPr>
        <w:pStyle w:val="ListParagraph"/>
        <w:numPr>
          <w:ilvl w:val="0"/>
          <w:numId w:val="6"/>
        </w:numPr>
        <w:spacing w:after="0"/>
        <w:rPr>
          <w:lang w:val="pt-PT"/>
        </w:rPr>
      </w:pPr>
      <w:r w:rsidRPr="00AE6FF5">
        <w:rPr>
          <w:lang w:val="pt-PT"/>
        </w:rPr>
        <w:t>O site MWG e as páginas de informação- Este site é uma ferramenta essencial para uma comunicação mais ampla. O MWG está comprometido com a sua melhoria contínua em conteúdo e estrutura.</w:t>
      </w:r>
    </w:p>
    <w:p w14:paraId="481CAE6E" w14:textId="44F4E2B4" w:rsidR="00487AB4" w:rsidRPr="00AE6FF5" w:rsidRDefault="00487AB4" w:rsidP="00AE6FF5">
      <w:pPr>
        <w:pStyle w:val="ListParagraph"/>
        <w:numPr>
          <w:ilvl w:val="0"/>
          <w:numId w:val="6"/>
        </w:numPr>
        <w:spacing w:after="0"/>
        <w:rPr>
          <w:lang w:val="pt-PT"/>
        </w:rPr>
      </w:pPr>
      <w:r w:rsidRPr="00AE6FF5">
        <w:rPr>
          <w:lang w:val="pt-PT"/>
        </w:rPr>
        <w:t>O impacto da imigração sobre a mortalidade foi discutido por Dov Raphael. Ele forneceu informações sobre o impacto da mortalidade de Israel por imigrantes russos.</w:t>
      </w:r>
    </w:p>
    <w:p w14:paraId="0F5C7E77" w14:textId="52F22D43" w:rsidR="00487AB4" w:rsidRPr="00AE6FF5" w:rsidRDefault="00487AB4" w:rsidP="00AE6FF5">
      <w:pPr>
        <w:pStyle w:val="ListParagraph"/>
        <w:numPr>
          <w:ilvl w:val="0"/>
          <w:numId w:val="6"/>
        </w:numPr>
        <w:spacing w:after="0"/>
        <w:rPr>
          <w:lang w:val="pt-PT"/>
        </w:rPr>
      </w:pPr>
      <w:r w:rsidRPr="00AE6FF5">
        <w:rPr>
          <w:lang w:val="pt-PT"/>
        </w:rPr>
        <w:t>Foram discutidos vários novos itens de investigação, incluindo os novos boletins de Longevidade produzidos por MRSC do IFoA, vacilante melhoria da mortalidade no Reino Unido, aumento da mortalidade dos brancos no EUA e a importância do erro médico como causa de morte.</w:t>
      </w:r>
    </w:p>
    <w:p w14:paraId="6A6C602A" w14:textId="5F9236C8" w:rsidR="00487AB4" w:rsidRPr="00AE6FF5" w:rsidRDefault="00487AB4" w:rsidP="00AE6FF5">
      <w:pPr>
        <w:pStyle w:val="ListParagraph"/>
        <w:numPr>
          <w:ilvl w:val="0"/>
          <w:numId w:val="6"/>
        </w:numPr>
        <w:spacing w:after="0"/>
        <w:rPr>
          <w:lang w:val="pt-PT"/>
        </w:rPr>
      </w:pPr>
      <w:r w:rsidRPr="00AE6FF5">
        <w:rPr>
          <w:lang w:val="pt-PT"/>
        </w:rPr>
        <w:t>Al Klein discutiu as novas tabelas de mortalidade desenvolvidas pela Associação Chinesa de Atuários.</w:t>
      </w:r>
    </w:p>
    <w:p w14:paraId="4D5CB36A" w14:textId="343B4BE3" w:rsidR="000B0FDE" w:rsidRDefault="000B0FDE" w:rsidP="000B0FDE">
      <w:pPr>
        <w:spacing w:after="0"/>
        <w:rPr>
          <w:lang w:val="pt-PT"/>
        </w:rPr>
      </w:pPr>
    </w:p>
    <w:p w14:paraId="61DB1283" w14:textId="2C621DA2" w:rsidR="00AE6FF5" w:rsidRDefault="00AE6FF5" w:rsidP="000B0FDE">
      <w:pPr>
        <w:spacing w:after="0"/>
        <w:rPr>
          <w:lang w:val="pt-PT"/>
        </w:rPr>
      </w:pPr>
    </w:p>
    <w:p w14:paraId="4B1794DC" w14:textId="77777777" w:rsidR="00AE6FF5" w:rsidRPr="004D4504" w:rsidRDefault="00AE6FF5" w:rsidP="000B0FDE">
      <w:pPr>
        <w:spacing w:after="0"/>
        <w:rPr>
          <w:lang w:val="pt-PT"/>
        </w:rPr>
      </w:pPr>
    </w:p>
    <w:p w14:paraId="4EA1425B" w14:textId="3BECF27B" w:rsidR="006B47EE" w:rsidRPr="00AE6FF5" w:rsidRDefault="006B47EE" w:rsidP="00AE6FF5">
      <w:pPr>
        <w:pStyle w:val="ListParagraph"/>
        <w:numPr>
          <w:ilvl w:val="0"/>
          <w:numId w:val="6"/>
        </w:numPr>
        <w:spacing w:after="0"/>
        <w:rPr>
          <w:lang w:val="pt-PT"/>
        </w:rPr>
      </w:pPr>
      <w:r w:rsidRPr="00AE6FF5">
        <w:rPr>
          <w:lang w:val="pt-PT"/>
        </w:rPr>
        <w:lastRenderedPageBreak/>
        <w:t>Vários relatórios nacionais foram atualizados. Estes relatórios fornecem informações sobre o estado atual de dados de mortalidade, tanto da população em geral como da população segura. Foram dadas atualizações para:</w:t>
      </w:r>
    </w:p>
    <w:p w14:paraId="3C06F816" w14:textId="10033A99" w:rsidR="00AE6FF5" w:rsidRPr="00AE6FF5" w:rsidRDefault="006B47EE" w:rsidP="00AE6FF5">
      <w:pPr>
        <w:pStyle w:val="ListParagraph"/>
        <w:numPr>
          <w:ilvl w:val="0"/>
          <w:numId w:val="7"/>
        </w:numPr>
        <w:spacing w:after="0"/>
        <w:rPr>
          <w:lang w:val="pt-PT"/>
        </w:rPr>
      </w:pPr>
      <w:r w:rsidRPr="00AE6FF5">
        <w:rPr>
          <w:lang w:val="pt-PT"/>
        </w:rPr>
        <w:t>Polónia</w:t>
      </w:r>
    </w:p>
    <w:p w14:paraId="6D7E4557" w14:textId="6F9180CC" w:rsidR="006B47EE" w:rsidRPr="00AE6FF5" w:rsidRDefault="006B47EE" w:rsidP="00AE6FF5">
      <w:pPr>
        <w:pStyle w:val="ListParagraph"/>
        <w:numPr>
          <w:ilvl w:val="0"/>
          <w:numId w:val="7"/>
        </w:numPr>
        <w:spacing w:after="0"/>
        <w:rPr>
          <w:lang w:val="pt-PT"/>
        </w:rPr>
      </w:pPr>
      <w:r w:rsidRPr="00AE6FF5">
        <w:rPr>
          <w:lang w:val="pt-PT"/>
        </w:rPr>
        <w:t>Suécia: Um destaque foi a observação de que o aumento da esperança de vida aos 65 anos foi substancialmente menor do que no nascimento.</w:t>
      </w:r>
    </w:p>
    <w:p w14:paraId="203714D1" w14:textId="225EC7C6" w:rsidR="006B47EE" w:rsidRPr="00AE6FF5" w:rsidRDefault="006B47EE" w:rsidP="00AE6FF5">
      <w:pPr>
        <w:pStyle w:val="ListParagraph"/>
        <w:numPr>
          <w:ilvl w:val="0"/>
          <w:numId w:val="7"/>
        </w:numPr>
        <w:spacing w:after="0"/>
        <w:rPr>
          <w:lang w:val="pt-PT"/>
        </w:rPr>
      </w:pPr>
      <w:r w:rsidRPr="00AE6FF5">
        <w:rPr>
          <w:lang w:val="pt-PT"/>
        </w:rPr>
        <w:t>Reino Unido</w:t>
      </w:r>
    </w:p>
    <w:p w14:paraId="7C26534A" w14:textId="5B90A19E" w:rsidR="006B47EE" w:rsidRPr="00AE6FF5" w:rsidRDefault="006B47EE" w:rsidP="00AE6FF5">
      <w:pPr>
        <w:pStyle w:val="ListParagraph"/>
        <w:numPr>
          <w:ilvl w:val="0"/>
          <w:numId w:val="7"/>
        </w:numPr>
        <w:spacing w:after="0"/>
        <w:rPr>
          <w:lang w:val="pt-PT"/>
        </w:rPr>
      </w:pPr>
      <w:r w:rsidRPr="00AE6FF5">
        <w:rPr>
          <w:lang w:val="pt-PT"/>
        </w:rPr>
        <w:t>Estados Unidos: Um destaque incluiu um novo relatório "mortalidade libertação antecipada" pelo Center for Disease Control (CDC). Ele indicou que a mortalidade em 2015 foi realmente maior do que em 2014.</w:t>
      </w:r>
    </w:p>
    <w:p w14:paraId="7011F7BB" w14:textId="45E43418" w:rsidR="006B47EE" w:rsidRPr="004D4504" w:rsidRDefault="006B47EE" w:rsidP="006B47EE">
      <w:pPr>
        <w:spacing w:after="0" w:line="250" w:lineRule="auto"/>
        <w:rPr>
          <w:lang w:val="pt-PT"/>
        </w:rPr>
      </w:pPr>
    </w:p>
    <w:p w14:paraId="7C59B3F2" w14:textId="7DB4DFC7" w:rsidR="006B47EE" w:rsidRPr="00AE6FF5" w:rsidRDefault="006B47EE" w:rsidP="00AE6FF5">
      <w:pPr>
        <w:pStyle w:val="ListParagraph"/>
        <w:numPr>
          <w:ilvl w:val="0"/>
          <w:numId w:val="9"/>
        </w:numPr>
        <w:spacing w:after="0" w:line="250" w:lineRule="auto"/>
        <w:rPr>
          <w:lang w:val="pt-PT"/>
        </w:rPr>
      </w:pPr>
      <w:r w:rsidRPr="00AE6FF5">
        <w:rPr>
          <w:lang w:val="pt-PT"/>
        </w:rPr>
        <w:t>Foram fornecidas atualizações sobre os projectos MWG actualmente a serem trabalhados.</w:t>
      </w:r>
    </w:p>
    <w:p w14:paraId="1859443A" w14:textId="77777777" w:rsidR="006B47EE" w:rsidRPr="004D4504" w:rsidRDefault="006B47EE" w:rsidP="006B47EE">
      <w:pPr>
        <w:pStyle w:val="ListParagraph"/>
        <w:numPr>
          <w:ilvl w:val="0"/>
          <w:numId w:val="4"/>
        </w:numPr>
        <w:spacing w:after="0" w:line="250" w:lineRule="auto"/>
        <w:rPr>
          <w:lang w:val="pt-PT"/>
        </w:rPr>
      </w:pPr>
      <w:r w:rsidRPr="004D4504">
        <w:rPr>
          <w:lang w:val="pt-PT"/>
        </w:rPr>
        <w:t>População segura / população em geral / comparações de taxas de mortalidade</w:t>
      </w:r>
    </w:p>
    <w:p w14:paraId="339B1B8B" w14:textId="77777777" w:rsidR="006B47EE" w:rsidRPr="004D4504" w:rsidRDefault="006B47EE" w:rsidP="006B47EE">
      <w:pPr>
        <w:pStyle w:val="ListParagraph"/>
        <w:numPr>
          <w:ilvl w:val="0"/>
          <w:numId w:val="4"/>
        </w:numPr>
        <w:spacing w:after="0" w:line="250" w:lineRule="auto"/>
        <w:rPr>
          <w:lang w:val="pt-PT"/>
        </w:rPr>
      </w:pPr>
      <w:r w:rsidRPr="004D4504">
        <w:rPr>
          <w:lang w:val="pt-PT"/>
        </w:rPr>
        <w:t>mortalidade dos seniores</w:t>
      </w:r>
    </w:p>
    <w:p w14:paraId="607C7F5B" w14:textId="77777777" w:rsidR="006B47EE" w:rsidRPr="004D4504" w:rsidRDefault="006B47EE" w:rsidP="006B47EE">
      <w:pPr>
        <w:pStyle w:val="ListParagraph"/>
        <w:numPr>
          <w:ilvl w:val="0"/>
          <w:numId w:val="4"/>
        </w:numPr>
        <w:spacing w:after="0" w:line="250" w:lineRule="auto"/>
        <w:rPr>
          <w:lang w:val="pt-PT"/>
        </w:rPr>
      </w:pPr>
      <w:r w:rsidRPr="004D4504">
        <w:rPr>
          <w:lang w:val="pt-PT"/>
        </w:rPr>
        <w:t>melhorias na mortalidade em idades mais avançadas</w:t>
      </w:r>
    </w:p>
    <w:p w14:paraId="232EBA6D" w14:textId="77777777" w:rsidR="006B47EE" w:rsidRPr="004D4504" w:rsidRDefault="006B47EE" w:rsidP="006B47EE">
      <w:pPr>
        <w:pStyle w:val="ListParagraph"/>
        <w:numPr>
          <w:ilvl w:val="0"/>
          <w:numId w:val="4"/>
        </w:numPr>
        <w:spacing w:after="0" w:line="250" w:lineRule="auto"/>
        <w:rPr>
          <w:lang w:val="pt-PT"/>
        </w:rPr>
      </w:pPr>
      <w:r w:rsidRPr="004D4504">
        <w:rPr>
          <w:lang w:val="pt-PT"/>
        </w:rPr>
        <w:t>Razões de longo prazo para a mortalidade</w:t>
      </w:r>
    </w:p>
    <w:p w14:paraId="52B29E72" w14:textId="77777777" w:rsidR="006B47EE" w:rsidRPr="004D4504" w:rsidRDefault="006B47EE" w:rsidP="006B47EE">
      <w:pPr>
        <w:spacing w:after="0" w:line="250" w:lineRule="auto"/>
        <w:rPr>
          <w:lang w:val="pt-PT"/>
        </w:rPr>
      </w:pPr>
    </w:p>
    <w:p w14:paraId="297553C2" w14:textId="5C031750" w:rsidR="006B47EE" w:rsidRPr="003867E1" w:rsidRDefault="006B47EE" w:rsidP="003867E1">
      <w:pPr>
        <w:pStyle w:val="ListParagraph"/>
        <w:numPr>
          <w:ilvl w:val="0"/>
          <w:numId w:val="9"/>
        </w:numPr>
        <w:spacing w:after="0" w:line="250" w:lineRule="auto"/>
        <w:rPr>
          <w:lang w:val="pt-PT"/>
        </w:rPr>
      </w:pPr>
      <w:r w:rsidRPr="003867E1">
        <w:rPr>
          <w:lang w:val="pt-PT"/>
        </w:rPr>
        <w:t>Seminários focados na mortalidade ou conferências no futuro serão realizado(a)s  na Austrália, Japão, Reino Unido e EUA.</w:t>
      </w:r>
      <w:bookmarkStart w:id="0" w:name="_GoBack"/>
      <w:bookmarkEnd w:id="0"/>
    </w:p>
    <w:p w14:paraId="151AF2E0" w14:textId="77777777" w:rsidR="006B47EE" w:rsidRPr="00487AB4" w:rsidRDefault="006B47EE" w:rsidP="006B47EE">
      <w:pPr>
        <w:spacing w:after="0" w:line="250" w:lineRule="auto"/>
        <w:rPr>
          <w:lang w:val="pt-PT"/>
        </w:rPr>
      </w:pPr>
    </w:p>
    <w:p w14:paraId="0FFA08B8" w14:textId="4316B6C0" w:rsidR="000B0FDE" w:rsidRPr="000B0FDE" w:rsidRDefault="000B0FDE" w:rsidP="000B0FDE">
      <w:pPr>
        <w:spacing w:after="0"/>
        <w:rPr>
          <w:lang w:val="pt-PT"/>
        </w:rPr>
      </w:pPr>
      <w:r w:rsidRPr="000B0FDE">
        <w:rPr>
          <w:lang w:val="pt-PT"/>
        </w:rPr>
        <w:t xml:space="preserve">Este é um resumo das discussões do MWG em St. Petersburg. </w:t>
      </w:r>
      <w:r w:rsidR="006B47EE">
        <w:rPr>
          <w:lang w:val="pt-PT"/>
        </w:rPr>
        <w:t>As atas completa</w:t>
      </w:r>
      <w:r w:rsidRPr="000B0FDE">
        <w:rPr>
          <w:lang w:val="pt-PT"/>
        </w:rPr>
        <w:t>s, apresentações e trabalhos deste encontro (e reuniões anteriores) estão disponíveis (sem a necessidade de registo) em:</w:t>
      </w:r>
    </w:p>
    <w:p w14:paraId="062D4075" w14:textId="77777777" w:rsidR="000B0FDE" w:rsidRPr="000B0FDE" w:rsidRDefault="000B0FDE" w:rsidP="000B0FDE">
      <w:pPr>
        <w:spacing w:after="0"/>
        <w:rPr>
          <w:lang w:val="pt-PT"/>
        </w:rPr>
      </w:pPr>
      <w:r w:rsidRPr="000B0FDE">
        <w:rPr>
          <w:lang w:val="pt-PT"/>
        </w:rPr>
        <w:t>www.actuaries.org/mortalityupdates</w:t>
      </w:r>
    </w:p>
    <w:p w14:paraId="110E722B" w14:textId="77777777" w:rsidR="000B0FDE" w:rsidRPr="000B0FDE" w:rsidRDefault="000B0FDE" w:rsidP="000B0FDE">
      <w:pPr>
        <w:spacing w:after="0"/>
        <w:rPr>
          <w:lang w:val="pt-PT"/>
        </w:rPr>
      </w:pPr>
      <w:r w:rsidRPr="000B0FDE">
        <w:rPr>
          <w:lang w:val="pt-PT"/>
        </w:rPr>
        <w:t> </w:t>
      </w:r>
    </w:p>
    <w:p w14:paraId="723E8ECB" w14:textId="208E9704" w:rsidR="000B0FDE" w:rsidRPr="000B0FDE" w:rsidRDefault="000B0FDE" w:rsidP="000B0FDE">
      <w:pPr>
        <w:spacing w:after="0"/>
        <w:rPr>
          <w:lang w:val="pt-PT"/>
        </w:rPr>
      </w:pPr>
      <w:r w:rsidRPr="000B0FDE">
        <w:rPr>
          <w:lang w:val="pt-PT"/>
        </w:rPr>
        <w:t xml:space="preserve">Esta atualização tem versões em Inglês, Francês, Alemão, Italiano, Japonês, Mandarim, Português, </w:t>
      </w:r>
      <w:r w:rsidR="006B47EE">
        <w:rPr>
          <w:lang w:val="pt-PT"/>
        </w:rPr>
        <w:t>Russo, E</w:t>
      </w:r>
      <w:r w:rsidRPr="000B0FDE">
        <w:rPr>
          <w:lang w:val="pt-PT"/>
        </w:rPr>
        <w:t xml:space="preserve">spanhol e </w:t>
      </w:r>
      <w:r w:rsidR="006B47EE">
        <w:rPr>
          <w:lang w:val="pt-PT"/>
        </w:rPr>
        <w:t>T</w:t>
      </w:r>
      <w:r w:rsidRPr="000B0FDE">
        <w:rPr>
          <w:lang w:val="pt-PT"/>
        </w:rPr>
        <w:t>urco.</w:t>
      </w:r>
    </w:p>
    <w:p w14:paraId="64F90445" w14:textId="77777777" w:rsidR="000B0FDE" w:rsidRPr="000B0FDE" w:rsidRDefault="000B0FDE" w:rsidP="000B0FDE">
      <w:pPr>
        <w:spacing w:after="0"/>
        <w:rPr>
          <w:lang w:val="pt-PT"/>
        </w:rPr>
      </w:pPr>
      <w:r w:rsidRPr="000B0FDE">
        <w:rPr>
          <w:lang w:val="pt-PT"/>
        </w:rPr>
        <w:t> </w:t>
      </w:r>
    </w:p>
    <w:p w14:paraId="1AA3A76A" w14:textId="77777777" w:rsidR="000B0FDE" w:rsidRPr="006B47EE" w:rsidRDefault="000B0FDE" w:rsidP="000B0FDE">
      <w:pPr>
        <w:spacing w:after="0"/>
        <w:rPr>
          <w:b/>
          <w:lang w:val="pt-PT"/>
        </w:rPr>
      </w:pPr>
      <w:r w:rsidRPr="006B47EE">
        <w:rPr>
          <w:b/>
          <w:lang w:val="pt-PT"/>
        </w:rPr>
        <w:t>A sua resposta e sugestões</w:t>
      </w:r>
    </w:p>
    <w:p w14:paraId="135A5FEF" w14:textId="077F8624" w:rsidR="000B0FDE" w:rsidRPr="000B0FDE" w:rsidRDefault="006B47EE" w:rsidP="000B0FDE">
      <w:pPr>
        <w:spacing w:after="0"/>
        <w:rPr>
          <w:lang w:val="pt-PT"/>
        </w:rPr>
      </w:pPr>
      <w:r>
        <w:rPr>
          <w:lang w:val="pt-PT"/>
        </w:rPr>
        <w:t xml:space="preserve">O </w:t>
      </w:r>
      <w:r w:rsidRPr="000B0FDE">
        <w:rPr>
          <w:lang w:val="pt-PT"/>
        </w:rPr>
        <w:t xml:space="preserve">Grupo de Trabalho </w:t>
      </w:r>
      <w:r>
        <w:rPr>
          <w:lang w:val="pt-PT"/>
        </w:rPr>
        <w:t>da IAA sobre</w:t>
      </w:r>
      <w:r w:rsidR="000B0FDE" w:rsidRPr="000B0FDE">
        <w:rPr>
          <w:lang w:val="pt-PT"/>
        </w:rPr>
        <w:t xml:space="preserve"> mortalidade congratula-se com a sua entrada e sugestões sobre o nosso trabalho. Por favor, abordar quaisquer comentários ao Grupo de Trabalho Mortalidade iaamwg@actuaries.org</w:t>
      </w:r>
    </w:p>
    <w:p w14:paraId="0D1F0B50" w14:textId="77777777" w:rsidR="000B0FDE" w:rsidRPr="000B0FDE" w:rsidRDefault="000B0FDE" w:rsidP="000B0FDE">
      <w:pPr>
        <w:spacing w:after="0"/>
        <w:rPr>
          <w:lang w:val="pt-PT"/>
        </w:rPr>
      </w:pPr>
      <w:r w:rsidRPr="000B0FDE">
        <w:rPr>
          <w:lang w:val="pt-PT"/>
        </w:rPr>
        <w:t> </w:t>
      </w:r>
    </w:p>
    <w:p w14:paraId="7B01AFB9" w14:textId="00CCCC29" w:rsidR="000B0FDE" w:rsidRDefault="000B0FDE" w:rsidP="000B0FDE">
      <w:pPr>
        <w:spacing w:after="0"/>
        <w:rPr>
          <w:b/>
          <w:lang w:val="pt-PT"/>
        </w:rPr>
      </w:pPr>
      <w:r w:rsidRPr="006B47EE">
        <w:rPr>
          <w:b/>
          <w:lang w:val="pt-PT"/>
        </w:rPr>
        <w:t>Referências</w:t>
      </w:r>
    </w:p>
    <w:p w14:paraId="4603DFD2" w14:textId="77777777" w:rsidR="006B47EE" w:rsidRDefault="006B47EE" w:rsidP="006B47EE">
      <w:pPr>
        <w:spacing w:after="5" w:line="249" w:lineRule="auto"/>
        <w:ind w:left="-5" w:right="1900" w:hanging="10"/>
      </w:pPr>
      <w:r>
        <w:t xml:space="preserve">Mortality Working Group Information Base: </w:t>
      </w:r>
      <w:hyperlink r:id="rId6">
        <w:r>
          <w:rPr>
            <w:color w:val="0000FF"/>
          </w:rPr>
          <w:t>http://www.actuaries.org/mortalityinfo</w:t>
        </w:r>
      </w:hyperlink>
      <w:hyperlink r:id="rId7">
        <w:r>
          <w:t xml:space="preserve"> </w:t>
        </w:r>
      </w:hyperlink>
    </w:p>
    <w:p w14:paraId="4BC0FF02" w14:textId="77777777" w:rsidR="006B47EE" w:rsidRPr="006B47EE" w:rsidRDefault="006B47EE" w:rsidP="000B0FDE">
      <w:pPr>
        <w:spacing w:after="0"/>
        <w:rPr>
          <w:b/>
        </w:rPr>
      </w:pPr>
    </w:p>
    <w:p w14:paraId="0ABF427C" w14:textId="5F80585E" w:rsidR="000B0FDE" w:rsidRPr="000B0FDE" w:rsidRDefault="006B47EE" w:rsidP="000B0FDE">
      <w:pPr>
        <w:spacing w:after="0"/>
        <w:rPr>
          <w:lang w:val="pt-PT"/>
        </w:rPr>
      </w:pPr>
      <w:r w:rsidRPr="000B0FDE">
        <w:rPr>
          <w:lang w:val="pt-PT"/>
        </w:rPr>
        <w:t xml:space="preserve">Grupo </w:t>
      </w:r>
      <w:r w:rsidR="000B0FDE" w:rsidRPr="000B0FDE">
        <w:rPr>
          <w:lang w:val="pt-PT"/>
        </w:rPr>
        <w:t>de Trabalho</w:t>
      </w:r>
      <w:r>
        <w:rPr>
          <w:lang w:val="pt-PT"/>
        </w:rPr>
        <w:t xml:space="preserve"> de </w:t>
      </w:r>
      <w:r w:rsidRPr="000B0FDE">
        <w:rPr>
          <w:lang w:val="pt-PT"/>
        </w:rPr>
        <w:t>Mortalidade</w:t>
      </w:r>
      <w:r w:rsidR="000B0FDE" w:rsidRPr="000B0FDE">
        <w:rPr>
          <w:lang w:val="pt-PT"/>
        </w:rPr>
        <w:t xml:space="preserve"> </w:t>
      </w:r>
      <w:r>
        <w:rPr>
          <w:lang w:val="pt-PT"/>
        </w:rPr>
        <w:t>Base de dados</w:t>
      </w:r>
      <w:r w:rsidR="000B0FDE" w:rsidRPr="000B0FDE">
        <w:rPr>
          <w:lang w:val="pt-PT"/>
        </w:rPr>
        <w:t>:</w:t>
      </w:r>
      <w:r>
        <w:rPr>
          <w:lang w:val="pt-PT"/>
        </w:rPr>
        <w:t xml:space="preserve"> </w:t>
      </w:r>
      <w:r w:rsidR="000B0FDE" w:rsidRPr="000B0FDE">
        <w:rPr>
          <w:lang w:val="pt-PT"/>
        </w:rPr>
        <w:t xml:space="preserve"> http://www.actuaries.org/mortalityinfo</w:t>
      </w:r>
    </w:p>
    <w:p w14:paraId="66664B10" w14:textId="77777777" w:rsidR="000B0FDE" w:rsidRPr="000B0FDE" w:rsidRDefault="000B0FDE" w:rsidP="000B0FDE">
      <w:pPr>
        <w:spacing w:after="0"/>
        <w:rPr>
          <w:lang w:val="pt-PT"/>
        </w:rPr>
      </w:pPr>
      <w:r w:rsidRPr="000B0FDE">
        <w:rPr>
          <w:lang w:val="pt-PT"/>
        </w:rPr>
        <w:t> </w:t>
      </w:r>
    </w:p>
    <w:p w14:paraId="7D5A919B" w14:textId="3D13470D" w:rsidR="000B0FDE" w:rsidRPr="000B0FDE" w:rsidRDefault="000B0FDE" w:rsidP="000B0FDE">
      <w:pPr>
        <w:spacing w:after="0"/>
        <w:rPr>
          <w:lang w:val="pt-PT"/>
        </w:rPr>
      </w:pPr>
      <w:r w:rsidRPr="000B0FDE">
        <w:rPr>
          <w:lang w:val="pt-PT"/>
        </w:rPr>
        <w:t>IAA Grupo de Trabalho</w:t>
      </w:r>
      <w:r w:rsidR="006B47EE">
        <w:rPr>
          <w:lang w:val="pt-PT"/>
        </w:rPr>
        <w:t xml:space="preserve"> de </w:t>
      </w:r>
      <w:r w:rsidR="006B47EE" w:rsidRPr="000B0FDE">
        <w:rPr>
          <w:lang w:val="pt-PT"/>
        </w:rPr>
        <w:t>Mortalidade</w:t>
      </w:r>
      <w:r w:rsidR="006B47EE">
        <w:rPr>
          <w:lang w:val="pt-PT"/>
        </w:rPr>
        <w:t xml:space="preserve">. </w:t>
      </w:r>
      <w:r w:rsidRPr="000B0FDE">
        <w:rPr>
          <w:lang w:val="pt-PT"/>
        </w:rPr>
        <w:t xml:space="preserve"> Atualizações: www.actuaries.org/mortalityupdates</w:t>
      </w:r>
    </w:p>
    <w:p w14:paraId="47C1278F" w14:textId="1028EDFA" w:rsidR="00210C0E" w:rsidRDefault="00210C0E">
      <w:pPr>
        <w:spacing w:after="0"/>
        <w:rPr>
          <w:lang w:val="pt-PT"/>
        </w:rPr>
      </w:pPr>
    </w:p>
    <w:p w14:paraId="6BA622CB" w14:textId="5F91C99E" w:rsidR="006B47EE" w:rsidRDefault="006B47EE">
      <w:pPr>
        <w:spacing w:after="0"/>
        <w:rPr>
          <w:lang w:val="pt-PT"/>
        </w:rPr>
      </w:pPr>
    </w:p>
    <w:p w14:paraId="5AF84D2A" w14:textId="77777777" w:rsidR="006B47EE" w:rsidRPr="000B0FDE" w:rsidRDefault="006B47EE">
      <w:pPr>
        <w:spacing w:after="0"/>
        <w:rPr>
          <w:lang w:val="pt-PT"/>
        </w:rPr>
      </w:pPr>
    </w:p>
    <w:p w14:paraId="15BE2B04" w14:textId="3B84F5E5" w:rsidR="00210C0E" w:rsidRPr="000B0FDE" w:rsidRDefault="00210C0E">
      <w:pPr>
        <w:spacing w:after="0"/>
        <w:rPr>
          <w:lang w:val="pt-PT"/>
        </w:rPr>
      </w:pPr>
    </w:p>
    <w:p w14:paraId="76DA29EE" w14:textId="77777777" w:rsidR="00210C0E" w:rsidRPr="000B0FDE" w:rsidRDefault="00210C0E">
      <w:pPr>
        <w:spacing w:after="0"/>
        <w:rPr>
          <w:lang w:val="pt-PT"/>
        </w:rPr>
      </w:pPr>
    </w:p>
    <w:p w14:paraId="7495AAC1" w14:textId="77777777" w:rsidR="00F80DFB" w:rsidRPr="0074585A" w:rsidRDefault="00624513">
      <w:pPr>
        <w:spacing w:after="0"/>
        <w:ind w:left="10" w:right="9" w:hanging="10"/>
        <w:jc w:val="center"/>
        <w:rPr>
          <w:lang w:val="fr-FR"/>
        </w:rPr>
      </w:pPr>
      <w:r w:rsidRPr="0074585A">
        <w:rPr>
          <w:rFonts w:ascii="Verdana" w:eastAsia="Verdana" w:hAnsi="Verdana" w:cs="Verdana"/>
          <w:b/>
          <w:color w:val="3366CC"/>
          <w:sz w:val="18"/>
          <w:lang w:val="fr-FR"/>
        </w:rPr>
        <w:t>International Actuarial Association | Association Actuarielle Internationale</w:t>
      </w:r>
      <w:r w:rsidRPr="0074585A">
        <w:rPr>
          <w:rFonts w:ascii="Verdana" w:eastAsia="Verdana" w:hAnsi="Verdana" w:cs="Verdana"/>
          <w:color w:val="3366CC"/>
          <w:sz w:val="18"/>
          <w:lang w:val="fr-FR"/>
        </w:rPr>
        <w:t xml:space="preserve"> </w:t>
      </w:r>
    </w:p>
    <w:p w14:paraId="2CC49511" w14:textId="77777777" w:rsidR="00F80DFB" w:rsidRDefault="00624513">
      <w:pPr>
        <w:spacing w:after="30" w:line="219" w:lineRule="auto"/>
        <w:ind w:left="1503" w:right="1497" w:hanging="10"/>
        <w:jc w:val="center"/>
      </w:pPr>
      <w:r>
        <w:rPr>
          <w:rFonts w:ascii="Verdana" w:eastAsia="Verdana" w:hAnsi="Verdana" w:cs="Verdana"/>
          <w:color w:val="3366CC"/>
          <w:sz w:val="18"/>
        </w:rPr>
        <w:t>99 Metcalfe Suite 1203 Ottawa, ON K1P 6L</w:t>
      </w:r>
      <w:proofErr w:type="gramStart"/>
      <w:r>
        <w:rPr>
          <w:rFonts w:ascii="Verdana" w:eastAsia="Verdana" w:hAnsi="Verdana" w:cs="Verdana"/>
          <w:color w:val="3366CC"/>
          <w:sz w:val="18"/>
        </w:rPr>
        <w:t>7  Canada</w:t>
      </w:r>
      <w:proofErr w:type="gramEnd"/>
      <w:r>
        <w:rPr>
          <w:rFonts w:ascii="Verdana" w:eastAsia="Verdana" w:hAnsi="Verdana" w:cs="Verdana"/>
          <w:color w:val="3366CC"/>
          <w:sz w:val="18"/>
        </w:rPr>
        <w:t xml:space="preserve">  </w:t>
      </w:r>
    </w:p>
    <w:p w14:paraId="0C9776D5" w14:textId="77777777" w:rsidR="00F80DFB" w:rsidRPr="00B1333E" w:rsidRDefault="00624513">
      <w:pPr>
        <w:spacing w:after="30" w:line="219" w:lineRule="auto"/>
        <w:ind w:left="1503" w:right="1432" w:hanging="10"/>
        <w:jc w:val="center"/>
        <w:rPr>
          <w:lang w:val="de-DE"/>
        </w:rPr>
      </w:pPr>
      <w:r w:rsidRPr="00B1333E">
        <w:rPr>
          <w:rFonts w:ascii="Verdana" w:eastAsia="Verdana" w:hAnsi="Verdana" w:cs="Verdana"/>
          <w:color w:val="3366CC"/>
          <w:sz w:val="18"/>
          <w:lang w:val="de-DE"/>
        </w:rPr>
        <w:t xml:space="preserve">Tel: 1-613-236-0886 | Fax: 1-613-236-1386 </w:t>
      </w:r>
      <w:r w:rsidRPr="00B1333E">
        <w:rPr>
          <w:rFonts w:ascii="Verdana" w:eastAsia="Verdana" w:hAnsi="Verdana" w:cs="Verdana"/>
          <w:color w:val="0000FF"/>
          <w:sz w:val="18"/>
          <w:u w:val="single" w:color="0000FF"/>
          <w:lang w:val="de-DE"/>
        </w:rPr>
        <w:t>secretariat@actuaries.org</w:t>
      </w:r>
      <w:r w:rsidRPr="00B1333E">
        <w:rPr>
          <w:rFonts w:ascii="Verdana" w:eastAsia="Verdana" w:hAnsi="Verdana" w:cs="Verdana"/>
          <w:color w:val="3366CC"/>
          <w:sz w:val="18"/>
          <w:lang w:val="de-DE"/>
        </w:rPr>
        <w:t xml:space="preserve"> | </w:t>
      </w:r>
      <w:r w:rsidRPr="00B1333E">
        <w:rPr>
          <w:rFonts w:ascii="Verdana" w:eastAsia="Verdana" w:hAnsi="Verdana" w:cs="Verdana"/>
          <w:color w:val="0000FF"/>
          <w:sz w:val="18"/>
          <w:u w:val="single" w:color="0000FF"/>
          <w:lang w:val="de-DE"/>
        </w:rPr>
        <w:t>www.actuaries.org</w:t>
      </w:r>
      <w:r w:rsidRPr="00B1333E">
        <w:rPr>
          <w:lang w:val="de-DE"/>
        </w:rPr>
        <w:t xml:space="preserve"> </w:t>
      </w:r>
    </w:p>
    <w:sectPr w:rsidR="00F80DFB" w:rsidRPr="00B1333E">
      <w:pgSz w:w="12242" w:h="15842"/>
      <w:pgMar w:top="1416" w:right="1414" w:bottom="39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A5"/>
    <w:multiLevelType w:val="hybridMultilevel"/>
    <w:tmpl w:val="F9DC0F64"/>
    <w:lvl w:ilvl="0" w:tplc="808A9F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0674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3CF7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EE062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E0570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E8375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A253C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F8CDB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BE4C6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53244"/>
    <w:multiLevelType w:val="hybridMultilevel"/>
    <w:tmpl w:val="5C44158C"/>
    <w:lvl w:ilvl="0" w:tplc="808A9F70">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F96F60"/>
    <w:multiLevelType w:val="hybridMultilevel"/>
    <w:tmpl w:val="960A69D0"/>
    <w:lvl w:ilvl="0" w:tplc="B2EE062E">
      <w:start w:val="1"/>
      <w:numFmt w:val="bullet"/>
      <w:lvlText w:val="•"/>
      <w:lvlJc w:val="left"/>
      <w:pPr>
        <w:ind w:left="36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CA6830"/>
    <w:multiLevelType w:val="hybridMultilevel"/>
    <w:tmpl w:val="291C68FE"/>
    <w:lvl w:ilvl="0" w:tplc="808A9F70">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77C5279"/>
    <w:multiLevelType w:val="hybridMultilevel"/>
    <w:tmpl w:val="CF523080"/>
    <w:lvl w:ilvl="0" w:tplc="04090001">
      <w:start w:val="1"/>
      <w:numFmt w:val="bullet"/>
      <w:lvlText w:val=""/>
      <w:lvlJc w:val="left"/>
      <w:pPr>
        <w:ind w:left="37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5" w15:restartNumberingAfterBreak="0">
    <w:nsid w:val="39AC4781"/>
    <w:multiLevelType w:val="hybridMultilevel"/>
    <w:tmpl w:val="DD6294C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A704332"/>
    <w:multiLevelType w:val="hybridMultilevel"/>
    <w:tmpl w:val="23CCD53E"/>
    <w:lvl w:ilvl="0" w:tplc="3960674E">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1A52762"/>
    <w:multiLevelType w:val="hybridMultilevel"/>
    <w:tmpl w:val="AD286028"/>
    <w:lvl w:ilvl="0" w:tplc="933CF766">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933CF766">
      <w:start w:val="1"/>
      <w:numFmt w:val="bullet"/>
      <w:lvlText w:val="▪"/>
      <w:lvlJc w:val="left"/>
      <w:pPr>
        <w:ind w:left="216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EF422D"/>
    <w:multiLevelType w:val="hybridMultilevel"/>
    <w:tmpl w:val="04F2387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FB"/>
    <w:rsid w:val="000B0FDE"/>
    <w:rsid w:val="000C3DDB"/>
    <w:rsid w:val="001608A6"/>
    <w:rsid w:val="00210C0E"/>
    <w:rsid w:val="00275175"/>
    <w:rsid w:val="00321817"/>
    <w:rsid w:val="003867E1"/>
    <w:rsid w:val="00487AB4"/>
    <w:rsid w:val="004B01CF"/>
    <w:rsid w:val="004D4504"/>
    <w:rsid w:val="005E129F"/>
    <w:rsid w:val="00624513"/>
    <w:rsid w:val="00652F4F"/>
    <w:rsid w:val="006616A8"/>
    <w:rsid w:val="006B4035"/>
    <w:rsid w:val="006B47EE"/>
    <w:rsid w:val="0074585A"/>
    <w:rsid w:val="00770CE3"/>
    <w:rsid w:val="007F5E57"/>
    <w:rsid w:val="008B6043"/>
    <w:rsid w:val="009070AC"/>
    <w:rsid w:val="00993B18"/>
    <w:rsid w:val="00AE6FF5"/>
    <w:rsid w:val="00B1333E"/>
    <w:rsid w:val="00B618AD"/>
    <w:rsid w:val="00B8496C"/>
    <w:rsid w:val="00C73D66"/>
    <w:rsid w:val="00CA0893"/>
    <w:rsid w:val="00CC4FB5"/>
    <w:rsid w:val="00DA1EB4"/>
    <w:rsid w:val="00E23304"/>
    <w:rsid w:val="00EC4778"/>
    <w:rsid w:val="00F31D6C"/>
    <w:rsid w:val="00F80DFB"/>
    <w:rsid w:val="00FD3BB5"/>
    <w:rsid w:val="00FF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6B20"/>
  <w15:docId w15:val="{1ED0FFFC-719F-4A6F-B812-17D0F133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43"/>
    <w:rPr>
      <w:rFonts w:ascii="Tahoma" w:eastAsia="Calibri" w:hAnsi="Tahoma" w:cs="Tahoma"/>
      <w:color w:val="000000"/>
      <w:sz w:val="16"/>
      <w:szCs w:val="16"/>
    </w:rPr>
  </w:style>
  <w:style w:type="paragraph" w:styleId="ListParagraph">
    <w:name w:val="List Paragraph"/>
    <w:basedOn w:val="Normal"/>
    <w:uiPriority w:val="34"/>
    <w:qFormat/>
    <w:rsid w:val="008B6043"/>
    <w:pPr>
      <w:ind w:left="720"/>
      <w:contextualSpacing/>
    </w:pPr>
  </w:style>
  <w:style w:type="character" w:styleId="CommentReference">
    <w:name w:val="annotation reference"/>
    <w:basedOn w:val="DefaultParagraphFont"/>
    <w:uiPriority w:val="99"/>
    <w:semiHidden/>
    <w:unhideWhenUsed/>
    <w:rsid w:val="008B6043"/>
    <w:rPr>
      <w:sz w:val="16"/>
      <w:szCs w:val="16"/>
    </w:rPr>
  </w:style>
  <w:style w:type="paragraph" w:styleId="CommentText">
    <w:name w:val="annotation text"/>
    <w:basedOn w:val="Normal"/>
    <w:link w:val="CommentTextChar"/>
    <w:uiPriority w:val="99"/>
    <w:semiHidden/>
    <w:unhideWhenUsed/>
    <w:rsid w:val="008B6043"/>
    <w:pPr>
      <w:spacing w:line="240" w:lineRule="auto"/>
    </w:pPr>
    <w:rPr>
      <w:sz w:val="20"/>
      <w:szCs w:val="20"/>
    </w:rPr>
  </w:style>
  <w:style w:type="character" w:customStyle="1" w:styleId="CommentTextChar">
    <w:name w:val="Comment Text Char"/>
    <w:basedOn w:val="DefaultParagraphFont"/>
    <w:link w:val="CommentText"/>
    <w:uiPriority w:val="99"/>
    <w:semiHidden/>
    <w:rsid w:val="008B60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6043"/>
    <w:rPr>
      <w:b/>
      <w:bCs/>
    </w:rPr>
  </w:style>
  <w:style w:type="character" w:customStyle="1" w:styleId="CommentSubjectChar">
    <w:name w:val="Comment Subject Char"/>
    <w:basedOn w:val="CommentTextChar"/>
    <w:link w:val="CommentSubject"/>
    <w:uiPriority w:val="99"/>
    <w:semiHidden/>
    <w:rsid w:val="008B604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uaries.org/mortality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uaries.org/mortalityinf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Munich Re Group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Chrisitan Levac</dc:creator>
  <cp:lastModifiedBy>Nancy Kelly</cp:lastModifiedBy>
  <cp:revision>3</cp:revision>
  <cp:lastPrinted>2016-08-17T19:13:00Z</cp:lastPrinted>
  <dcterms:created xsi:type="dcterms:W3CDTF">2016-08-17T19:13:00Z</dcterms:created>
  <dcterms:modified xsi:type="dcterms:W3CDTF">2016-08-17T19:14:00Z</dcterms:modified>
</cp:coreProperties>
</file>