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F806E" w14:textId="77777777" w:rsidR="00F80DFB" w:rsidRDefault="00624513">
      <w:pPr>
        <w:spacing w:after="35" w:line="216" w:lineRule="auto"/>
        <w:ind w:right="7930" w:hanging="1"/>
      </w:pPr>
      <w:r>
        <w:rPr>
          <w:noProof/>
          <w:lang w:val="en-CA" w:eastAsia="en-CA"/>
        </w:rPr>
        <w:drawing>
          <wp:inline distT="0" distB="0" distL="0" distR="0" wp14:anchorId="29B69210" wp14:editId="5C0E2AA1">
            <wp:extent cx="899160" cy="89916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5"/>
                    <a:stretch>
                      <a:fillRect/>
                    </a:stretch>
                  </pic:blipFill>
                  <pic:spPr>
                    <a:xfrm>
                      <a:off x="0" y="0"/>
                      <a:ext cx="899160" cy="899160"/>
                    </a:xfrm>
                    <a:prstGeom prst="rect">
                      <a:avLst/>
                    </a:prstGeom>
                  </pic:spPr>
                </pic:pic>
              </a:graphicData>
            </a:graphic>
          </wp:inline>
        </w:drawing>
      </w:r>
      <w:r>
        <w:rPr>
          <w:b/>
          <w:color w:val="0F243E"/>
          <w:sz w:val="28"/>
        </w:rPr>
        <w:t xml:space="preserve">  </w:t>
      </w:r>
    </w:p>
    <w:p w14:paraId="77AEC084" w14:textId="77777777" w:rsidR="00F80DFB" w:rsidRDefault="00624513">
      <w:pPr>
        <w:spacing w:after="224" w:line="239" w:lineRule="auto"/>
        <w:jc w:val="center"/>
      </w:pPr>
      <w:r>
        <w:rPr>
          <w:b/>
          <w:color w:val="0F243E"/>
          <w:sz w:val="28"/>
        </w:rPr>
        <w:t>International Actuarial Association (IAA) Mortality Working Group Update #</w:t>
      </w:r>
      <w:r w:rsidR="006B4035">
        <w:rPr>
          <w:b/>
          <w:color w:val="0F243E"/>
          <w:sz w:val="28"/>
        </w:rPr>
        <w:t>7</w:t>
      </w:r>
      <w:r>
        <w:rPr>
          <w:b/>
          <w:color w:val="0F243E"/>
          <w:sz w:val="28"/>
        </w:rPr>
        <w:t xml:space="preserve"> — </w:t>
      </w:r>
      <w:r w:rsidR="006B4035">
        <w:rPr>
          <w:b/>
          <w:color w:val="0F243E"/>
          <w:sz w:val="28"/>
        </w:rPr>
        <w:t>St. Petersburg</w:t>
      </w:r>
      <w:r w:rsidR="00B1333E">
        <w:rPr>
          <w:b/>
          <w:color w:val="0F243E"/>
          <w:sz w:val="28"/>
        </w:rPr>
        <w:t xml:space="preserve">, </w:t>
      </w:r>
      <w:r w:rsidR="006B4035">
        <w:rPr>
          <w:b/>
          <w:color w:val="0F243E"/>
          <w:sz w:val="28"/>
        </w:rPr>
        <w:t>Russia,</w:t>
      </w:r>
      <w:r>
        <w:rPr>
          <w:b/>
          <w:color w:val="0F243E"/>
          <w:sz w:val="28"/>
        </w:rPr>
        <w:t xml:space="preserve"> 201</w:t>
      </w:r>
      <w:r w:rsidR="006B4035">
        <w:rPr>
          <w:b/>
          <w:color w:val="0F243E"/>
          <w:sz w:val="28"/>
        </w:rPr>
        <w:t>6</w:t>
      </w:r>
      <w:r>
        <w:rPr>
          <w:b/>
          <w:color w:val="0F243E"/>
          <w:sz w:val="28"/>
        </w:rPr>
        <w:t xml:space="preserve"> </w:t>
      </w:r>
    </w:p>
    <w:p w14:paraId="061C8FE0" w14:textId="2F025B5A" w:rsidR="00F80DFB" w:rsidRDefault="00624513">
      <w:pPr>
        <w:spacing w:after="272" w:line="249" w:lineRule="auto"/>
        <w:ind w:left="-5" w:hanging="10"/>
      </w:pPr>
      <w:r>
        <w:t>The Mortality Working Group (MWG) meets twice a year as part of a 5</w:t>
      </w:r>
      <w:r w:rsidR="00210C0E">
        <w:t>-</w:t>
      </w:r>
      <w:r>
        <w:t xml:space="preserve">day period of meetings of the IAA committees and working groups. The </w:t>
      </w:r>
      <w:r w:rsidR="006B4035">
        <w:t>first</w:t>
      </w:r>
      <w:r>
        <w:t xml:space="preserve"> meeting of 201</w:t>
      </w:r>
      <w:r w:rsidR="006B4035">
        <w:t>6</w:t>
      </w:r>
      <w:r>
        <w:t xml:space="preserve"> took place in </w:t>
      </w:r>
      <w:r w:rsidR="006B4035">
        <w:t>St. Petersburg, Russia</w:t>
      </w:r>
      <w:r>
        <w:t xml:space="preserve"> in </w:t>
      </w:r>
      <w:r w:rsidR="006B4035">
        <w:t>May</w:t>
      </w:r>
      <w:r>
        <w:t xml:space="preserve"> 201</w:t>
      </w:r>
      <w:r w:rsidR="006B4035">
        <w:t>6</w:t>
      </w:r>
      <w:r>
        <w:t xml:space="preserve"> and this </w:t>
      </w:r>
      <w:proofErr w:type="spellStart"/>
      <w:r>
        <w:t>summarises</w:t>
      </w:r>
      <w:proofErr w:type="spellEnd"/>
      <w:r>
        <w:t xml:space="preserve"> the discussions.  </w:t>
      </w:r>
    </w:p>
    <w:p w14:paraId="10C84B09" w14:textId="77777777" w:rsidR="00F80DFB" w:rsidRDefault="00624513">
      <w:pPr>
        <w:spacing w:after="275" w:line="246" w:lineRule="auto"/>
        <w:ind w:left="-5" w:right="-10" w:hanging="10"/>
        <w:jc w:val="both"/>
      </w:pPr>
      <w:r>
        <w:t xml:space="preserve">The MWG exists to study mortality and monitor studies completed by other organizations worldwide, to make this information available to actuaries and others worldwide, and to contribute to and organize other opportunities for communication where appropriate. </w:t>
      </w:r>
    </w:p>
    <w:p w14:paraId="6EF356C2" w14:textId="4298E19D" w:rsidR="00652F4F" w:rsidRDefault="00652F4F">
      <w:pPr>
        <w:spacing w:after="33" w:line="249" w:lineRule="auto"/>
        <w:ind w:left="-5" w:hanging="10"/>
      </w:pPr>
      <w:r>
        <w:t xml:space="preserve">There were </w:t>
      </w:r>
      <w:r w:rsidR="008B6043">
        <w:t>five</w:t>
      </w:r>
      <w:r>
        <w:t xml:space="preserve"> guest speakers at this meeting.</w:t>
      </w:r>
    </w:p>
    <w:p w14:paraId="08543D0D" w14:textId="77777777" w:rsidR="00652F4F" w:rsidRDefault="00652F4F">
      <w:pPr>
        <w:spacing w:after="33" w:line="249" w:lineRule="auto"/>
        <w:ind w:left="-5" w:hanging="10"/>
      </w:pPr>
      <w:bookmarkStart w:id="0" w:name="_GoBack"/>
      <w:bookmarkEnd w:id="0"/>
    </w:p>
    <w:p w14:paraId="22B6D6D8" w14:textId="77777777" w:rsidR="00652F4F" w:rsidRDefault="00652F4F" w:rsidP="00D93050">
      <w:pPr>
        <w:pStyle w:val="ListParagraph"/>
        <w:numPr>
          <w:ilvl w:val="0"/>
          <w:numId w:val="4"/>
        </w:numPr>
        <w:spacing w:after="33" w:line="240" w:lineRule="auto"/>
      </w:pPr>
      <w:r>
        <w:t xml:space="preserve">Marius </w:t>
      </w:r>
      <w:proofErr w:type="spellStart"/>
      <w:r>
        <w:t>Pascariu</w:t>
      </w:r>
      <w:proofErr w:type="spellEnd"/>
      <w:r>
        <w:t xml:space="preserve">, from the Max Planck Odense Centre on the </w:t>
      </w:r>
      <w:proofErr w:type="spellStart"/>
      <w:r>
        <w:t>Biodemography</w:t>
      </w:r>
      <w:proofErr w:type="spellEnd"/>
      <w:r>
        <w:t xml:space="preserve"> of Aging, University of Southern Denmark, presented a paper demonstrating a new method of forecasting life expectancy at birth by extrapolating two variables</w:t>
      </w:r>
      <w:r w:rsidR="00B8496C">
        <w:t>,</w:t>
      </w:r>
      <w:r>
        <w:t xml:space="preserve"> the gender gap in the population, and the gap between female life expectancy in the population and total life expectancy (LE) in the country with the highest LE in that year.</w:t>
      </w:r>
    </w:p>
    <w:p w14:paraId="51101447" w14:textId="04571210" w:rsidR="008B6043" w:rsidRDefault="00652F4F" w:rsidP="00D93050">
      <w:pPr>
        <w:pStyle w:val="ListParagraph"/>
        <w:numPr>
          <w:ilvl w:val="0"/>
          <w:numId w:val="4"/>
        </w:numPr>
        <w:spacing w:after="33" w:line="240" w:lineRule="auto"/>
      </w:pPr>
      <w:r>
        <w:t xml:space="preserve">James </w:t>
      </w:r>
      <w:proofErr w:type="spellStart"/>
      <w:r>
        <w:t>Vaupel</w:t>
      </w:r>
      <w:proofErr w:type="spellEnd"/>
      <w:r>
        <w:t xml:space="preserve">, a guest speaker from the Max Planck Institute for Demographic Research presented a detailed survey of possible future developments in life expectancy. </w:t>
      </w:r>
      <w:r w:rsidR="001608A6">
        <w:t>His presentation supported his opinion that LE will continue to increase.</w:t>
      </w:r>
    </w:p>
    <w:p w14:paraId="61922FC9" w14:textId="77777777" w:rsidR="00210C0E" w:rsidRDefault="008B6043" w:rsidP="00D93050">
      <w:pPr>
        <w:pStyle w:val="ListParagraph"/>
        <w:numPr>
          <w:ilvl w:val="0"/>
          <w:numId w:val="4"/>
        </w:numPr>
        <w:spacing w:after="33" w:line="240" w:lineRule="auto"/>
      </w:pPr>
      <w:r>
        <w:t xml:space="preserve">The Centre of Excellence in Population Ageing Research (CEPAR) was described by Michael </w:t>
      </w:r>
      <w:proofErr w:type="spellStart"/>
      <w:r>
        <w:t>Sherris</w:t>
      </w:r>
      <w:proofErr w:type="spellEnd"/>
      <w:r>
        <w:t xml:space="preserve">. </w:t>
      </w:r>
    </w:p>
    <w:p w14:paraId="0638EE5B" w14:textId="14A62144" w:rsidR="00210C0E" w:rsidRDefault="008B6043" w:rsidP="00D93050">
      <w:pPr>
        <w:pStyle w:val="ListParagraph"/>
        <w:numPr>
          <w:ilvl w:val="0"/>
          <w:numId w:val="4"/>
        </w:numPr>
        <w:spacing w:after="33" w:line="240" w:lineRule="auto"/>
      </w:pPr>
      <w:r>
        <w:t>There will be an “Old Age Workshop in Sydney Australia in February 2017.</w:t>
      </w:r>
    </w:p>
    <w:p w14:paraId="6BCA43FA" w14:textId="4456E141" w:rsidR="008B6043" w:rsidRDefault="008B6043" w:rsidP="00D93050">
      <w:pPr>
        <w:pStyle w:val="ListParagraph"/>
        <w:numPr>
          <w:ilvl w:val="0"/>
          <w:numId w:val="4"/>
        </w:numPr>
        <w:spacing w:after="38" w:line="249" w:lineRule="auto"/>
      </w:pPr>
      <w:r>
        <w:t xml:space="preserve">Dmitry </w:t>
      </w:r>
      <w:proofErr w:type="spellStart"/>
      <w:r>
        <w:t>Pomaskin</w:t>
      </w:r>
      <w:proofErr w:type="spellEnd"/>
      <w:r>
        <w:t>, from the Russian Association of Actuaries, provided in information on certain topics currently being worked on in Russia</w:t>
      </w:r>
      <w:r w:rsidRPr="008B6043">
        <w:t xml:space="preserve"> </w:t>
      </w:r>
    </w:p>
    <w:p w14:paraId="6C94AB06" w14:textId="77777777" w:rsidR="008B6043" w:rsidRDefault="008B6043" w:rsidP="00D93050">
      <w:pPr>
        <w:pStyle w:val="ListParagraph"/>
        <w:numPr>
          <w:ilvl w:val="0"/>
          <w:numId w:val="4"/>
        </w:numPr>
        <w:spacing w:after="38" w:line="249" w:lineRule="auto"/>
      </w:pPr>
      <w:r>
        <w:t>The role of the International Association of Insurance Supervisors (IAIS) was discussed by Jules Gribble. They have a particular interest on the impact of mortality stresses.</w:t>
      </w:r>
    </w:p>
    <w:p w14:paraId="1E7200D0" w14:textId="77777777" w:rsidR="008B6043" w:rsidRDefault="008B6043">
      <w:pPr>
        <w:spacing w:after="33" w:line="249" w:lineRule="auto"/>
        <w:ind w:left="-5" w:hanging="10"/>
      </w:pPr>
    </w:p>
    <w:p w14:paraId="12B0A53C" w14:textId="77777777" w:rsidR="00F80DFB" w:rsidRDefault="00F31D6C">
      <w:pPr>
        <w:spacing w:after="33" w:line="249" w:lineRule="auto"/>
        <w:ind w:left="-5" w:hanging="10"/>
      </w:pPr>
      <w:r>
        <w:t>Other</w:t>
      </w:r>
      <w:r w:rsidR="00624513">
        <w:t xml:space="preserve"> topics in this meeting </w:t>
      </w:r>
      <w:r>
        <w:t>included</w:t>
      </w:r>
      <w:r w:rsidR="00624513">
        <w:t xml:space="preserve">: </w:t>
      </w:r>
    </w:p>
    <w:p w14:paraId="1DBF9DEE" w14:textId="77777777" w:rsidR="007F5E57" w:rsidRDefault="00F31D6C" w:rsidP="00B618AD">
      <w:pPr>
        <w:numPr>
          <w:ilvl w:val="0"/>
          <w:numId w:val="1"/>
        </w:numPr>
        <w:spacing w:after="38" w:line="249" w:lineRule="auto"/>
        <w:ind w:hanging="360"/>
      </w:pPr>
      <w:r>
        <w:t>Future of the Human Mortality Database (HMD) – Funding continues to be a huge issue. The future existence of the HMD is at risk.</w:t>
      </w:r>
    </w:p>
    <w:p w14:paraId="5B1A709A" w14:textId="77777777" w:rsidR="00F31D6C" w:rsidRDefault="00F31D6C" w:rsidP="00B618AD">
      <w:pPr>
        <w:numPr>
          <w:ilvl w:val="0"/>
          <w:numId w:val="1"/>
        </w:numPr>
        <w:spacing w:after="38" w:line="249" w:lineRule="auto"/>
        <w:ind w:hanging="360"/>
      </w:pPr>
      <w:r>
        <w:t>The MWG website and information pages – This website is an essential tool for broader communication. The MWG</w:t>
      </w:r>
      <w:r w:rsidR="00B8496C">
        <w:t xml:space="preserve"> is committed to its continual improvement in content and structure.</w:t>
      </w:r>
    </w:p>
    <w:p w14:paraId="7F612871" w14:textId="77777777" w:rsidR="00321817" w:rsidRDefault="00321817" w:rsidP="00B618AD">
      <w:pPr>
        <w:numPr>
          <w:ilvl w:val="0"/>
          <w:numId w:val="1"/>
        </w:numPr>
        <w:spacing w:after="38" w:line="249" w:lineRule="auto"/>
        <w:ind w:hanging="360"/>
      </w:pPr>
      <w:r>
        <w:t xml:space="preserve">The impact of immigration on mortality was discussed by Dov Raphael. He provided information on the impact of Israeli mortality by Russian immigrants. </w:t>
      </w:r>
    </w:p>
    <w:p w14:paraId="4D596F3C" w14:textId="77777777" w:rsidR="00321817" w:rsidRDefault="00321817" w:rsidP="00B618AD">
      <w:pPr>
        <w:numPr>
          <w:ilvl w:val="0"/>
          <w:numId w:val="1"/>
        </w:numPr>
        <w:spacing w:after="38" w:line="249" w:lineRule="auto"/>
        <w:ind w:hanging="360"/>
      </w:pPr>
      <w:r>
        <w:t xml:space="preserve">Several new research items were discussed, including the </w:t>
      </w:r>
      <w:r w:rsidR="00EC4778">
        <w:t xml:space="preserve">new Longevity bulletins produced by the </w:t>
      </w:r>
      <w:proofErr w:type="spellStart"/>
      <w:r w:rsidR="00EC4778">
        <w:t>IFoA’</w:t>
      </w:r>
      <w:r w:rsidR="0074585A">
        <w:t>s</w:t>
      </w:r>
      <w:proofErr w:type="spellEnd"/>
      <w:r w:rsidR="00EC4778">
        <w:t xml:space="preserve"> MRSC, </w:t>
      </w:r>
      <w:r>
        <w:t>faltering of mortality improvement in the UK, rising white mortality in the U.S.</w:t>
      </w:r>
      <w:r w:rsidR="00EC4778">
        <w:t xml:space="preserve"> and</w:t>
      </w:r>
      <w:r>
        <w:t xml:space="preserve"> the importance of med</w:t>
      </w:r>
      <w:r w:rsidR="00EC4778">
        <w:t>ical error as a cause of death.</w:t>
      </w:r>
    </w:p>
    <w:p w14:paraId="2BE50AE3" w14:textId="77777777" w:rsidR="00210C0E" w:rsidRDefault="008B6043" w:rsidP="00B618AD">
      <w:pPr>
        <w:numPr>
          <w:ilvl w:val="0"/>
          <w:numId w:val="1"/>
        </w:numPr>
        <w:spacing w:after="38" w:line="249" w:lineRule="auto"/>
        <w:ind w:hanging="360"/>
      </w:pPr>
      <w:r>
        <w:t>Al Klein discussed that new mortality tables been developed by the Chinese Association of Actuaries</w:t>
      </w:r>
      <w:r w:rsidR="00C73D66">
        <w:t>.</w:t>
      </w:r>
      <w:r>
        <w:t xml:space="preserve"> </w:t>
      </w:r>
    </w:p>
    <w:p w14:paraId="7075F99E" w14:textId="77777777" w:rsidR="00210C0E" w:rsidRDefault="00210C0E" w:rsidP="00B618AD">
      <w:pPr>
        <w:spacing w:after="38" w:line="249" w:lineRule="auto"/>
      </w:pPr>
    </w:p>
    <w:p w14:paraId="10E2F603" w14:textId="77777777" w:rsidR="00210C0E" w:rsidRDefault="00210C0E" w:rsidP="00B618AD">
      <w:pPr>
        <w:spacing w:after="38" w:line="249" w:lineRule="auto"/>
      </w:pPr>
    </w:p>
    <w:p w14:paraId="452EE99C" w14:textId="7D858FC8" w:rsidR="009070AC" w:rsidRDefault="009070AC" w:rsidP="00B618AD">
      <w:pPr>
        <w:spacing w:after="38" w:line="249" w:lineRule="auto"/>
      </w:pPr>
    </w:p>
    <w:p w14:paraId="20C58D06" w14:textId="4A42F148" w:rsidR="00EC4778" w:rsidRDefault="00B8496C" w:rsidP="00B618AD">
      <w:pPr>
        <w:numPr>
          <w:ilvl w:val="0"/>
          <w:numId w:val="1"/>
        </w:numPr>
        <w:spacing w:after="38" w:line="249" w:lineRule="auto"/>
        <w:ind w:hanging="360"/>
      </w:pPr>
      <w:r>
        <w:lastRenderedPageBreak/>
        <w:t>Several country reports were updated. These reports provide information on the current status of mortality information, both population and insurance focused. Updates were provided for:</w:t>
      </w:r>
    </w:p>
    <w:p w14:paraId="55BFF4F9" w14:textId="77777777" w:rsidR="00B8496C" w:rsidRDefault="00B8496C" w:rsidP="00B618AD">
      <w:pPr>
        <w:numPr>
          <w:ilvl w:val="1"/>
          <w:numId w:val="1"/>
        </w:numPr>
        <w:spacing w:after="38" w:line="240" w:lineRule="auto"/>
        <w:ind w:left="851" w:hanging="425"/>
      </w:pPr>
      <w:r>
        <w:t>Poland</w:t>
      </w:r>
    </w:p>
    <w:p w14:paraId="4025CD79" w14:textId="77777777" w:rsidR="00B8496C" w:rsidRDefault="00B8496C" w:rsidP="00B618AD">
      <w:pPr>
        <w:numPr>
          <w:ilvl w:val="1"/>
          <w:numId w:val="1"/>
        </w:numPr>
        <w:spacing w:after="38" w:line="240" w:lineRule="auto"/>
        <w:ind w:left="851" w:hanging="425"/>
      </w:pPr>
      <w:r>
        <w:t>Sweden</w:t>
      </w:r>
      <w:r w:rsidR="00321817">
        <w:t>: A highlight was the observation that the increase in life expectancy at age 65 was substantially lower than that at birth.</w:t>
      </w:r>
    </w:p>
    <w:p w14:paraId="05486CB5" w14:textId="77777777" w:rsidR="00B8496C" w:rsidRDefault="00B8496C" w:rsidP="00B618AD">
      <w:pPr>
        <w:numPr>
          <w:ilvl w:val="1"/>
          <w:numId w:val="1"/>
        </w:numPr>
        <w:spacing w:after="38" w:line="240" w:lineRule="auto"/>
        <w:ind w:left="851" w:hanging="425"/>
      </w:pPr>
      <w:r>
        <w:t>United Kingdom</w:t>
      </w:r>
    </w:p>
    <w:p w14:paraId="467F15C0" w14:textId="7C834ECF" w:rsidR="00B8496C" w:rsidRDefault="00B8496C" w:rsidP="00B618AD">
      <w:pPr>
        <w:numPr>
          <w:ilvl w:val="1"/>
          <w:numId w:val="1"/>
        </w:numPr>
        <w:spacing w:after="38" w:line="240" w:lineRule="auto"/>
        <w:ind w:left="851" w:hanging="425"/>
      </w:pPr>
      <w:r>
        <w:t>United States</w:t>
      </w:r>
      <w:r w:rsidR="00275175">
        <w:t xml:space="preserve">: </w:t>
      </w:r>
      <w:r w:rsidR="008B6043">
        <w:t>A h</w:t>
      </w:r>
      <w:r w:rsidR="00275175">
        <w:t>ighlight include</w:t>
      </w:r>
      <w:r w:rsidR="008B6043">
        <w:t>d</w:t>
      </w:r>
      <w:r w:rsidR="00275175">
        <w:t xml:space="preserve"> a new report “Early release mortality” by the Center for Disease Control (CDC). It indicated that mortality in 2015 </w:t>
      </w:r>
      <w:r w:rsidR="006616A8">
        <w:t>wa</w:t>
      </w:r>
      <w:r w:rsidR="00275175">
        <w:t>s actually higher than 2014.</w:t>
      </w:r>
      <w:r w:rsidR="00C73D66">
        <w:br/>
      </w:r>
    </w:p>
    <w:p w14:paraId="147230DB" w14:textId="54734F1D" w:rsidR="00770CE3" w:rsidRDefault="00275175" w:rsidP="00770CE3">
      <w:pPr>
        <w:numPr>
          <w:ilvl w:val="0"/>
          <w:numId w:val="1"/>
        </w:numPr>
        <w:spacing w:after="0" w:line="250" w:lineRule="auto"/>
        <w:ind w:hanging="360"/>
      </w:pPr>
      <w:r>
        <w:t>Updates were provided on</w:t>
      </w:r>
      <w:r w:rsidR="00770CE3">
        <w:t xml:space="preserve"> </w:t>
      </w:r>
      <w:r w:rsidR="008B6043">
        <w:t>the</w:t>
      </w:r>
      <w:r w:rsidR="00770CE3">
        <w:t xml:space="preserve"> </w:t>
      </w:r>
      <w:r>
        <w:t xml:space="preserve">MWG </w:t>
      </w:r>
      <w:r w:rsidR="00770CE3">
        <w:t xml:space="preserve">projects currently being worked on. </w:t>
      </w:r>
    </w:p>
    <w:p w14:paraId="6B1EE164" w14:textId="77777777" w:rsidR="00770CE3" w:rsidRDefault="00770CE3" w:rsidP="00B618AD">
      <w:pPr>
        <w:numPr>
          <w:ilvl w:val="1"/>
          <w:numId w:val="1"/>
        </w:numPr>
        <w:spacing w:after="0" w:line="250" w:lineRule="auto"/>
        <w:ind w:left="851" w:hanging="425"/>
      </w:pPr>
      <w:r>
        <w:t>Insured / population / annuity mortality rate comparisons</w:t>
      </w:r>
    </w:p>
    <w:p w14:paraId="1AB9AC0C" w14:textId="77777777" w:rsidR="00770CE3" w:rsidRDefault="00770CE3" w:rsidP="00B618AD">
      <w:pPr>
        <w:numPr>
          <w:ilvl w:val="1"/>
          <w:numId w:val="1"/>
        </w:numPr>
        <w:spacing w:after="0" w:line="250" w:lineRule="auto"/>
        <w:ind w:left="851" w:hanging="425"/>
      </w:pPr>
      <w:r>
        <w:t>Old Age mortality</w:t>
      </w:r>
    </w:p>
    <w:p w14:paraId="6009FF6E" w14:textId="77777777" w:rsidR="00770CE3" w:rsidRDefault="00770CE3" w:rsidP="00B618AD">
      <w:pPr>
        <w:numPr>
          <w:ilvl w:val="1"/>
          <w:numId w:val="1"/>
        </w:numPr>
        <w:spacing w:after="0" w:line="250" w:lineRule="auto"/>
        <w:ind w:left="851" w:hanging="425"/>
      </w:pPr>
      <w:r>
        <w:t>Mortality improvements at older ages</w:t>
      </w:r>
    </w:p>
    <w:p w14:paraId="7A990C34" w14:textId="749A1A81" w:rsidR="00EC4778" w:rsidRDefault="00770CE3" w:rsidP="00B618AD">
      <w:pPr>
        <w:numPr>
          <w:ilvl w:val="1"/>
          <w:numId w:val="1"/>
        </w:numPr>
        <w:spacing w:after="0" w:line="250" w:lineRule="auto"/>
        <w:ind w:left="851" w:hanging="425"/>
      </w:pPr>
      <w:r>
        <w:t>Long term drivers of mortality</w:t>
      </w:r>
    </w:p>
    <w:p w14:paraId="56F7C32B" w14:textId="77777777" w:rsidR="00210C0E" w:rsidRDefault="00210C0E" w:rsidP="00B618AD">
      <w:pPr>
        <w:spacing w:after="0" w:line="250" w:lineRule="auto"/>
        <w:ind w:left="851"/>
      </w:pPr>
    </w:p>
    <w:p w14:paraId="5C7620A6" w14:textId="77777777" w:rsidR="00EC4778" w:rsidRDefault="00EC4778" w:rsidP="00EC4778">
      <w:pPr>
        <w:numPr>
          <w:ilvl w:val="0"/>
          <w:numId w:val="1"/>
        </w:numPr>
        <w:spacing w:after="0" w:line="250" w:lineRule="auto"/>
        <w:ind w:hanging="360"/>
      </w:pPr>
      <w:r>
        <w:t>Future mortality focused seminars or conferences will be occurring in Australia, Japan, UK and USA.</w:t>
      </w:r>
    </w:p>
    <w:p w14:paraId="40B943FE" w14:textId="171E8540" w:rsidR="00F80DFB" w:rsidRDefault="007F5E57" w:rsidP="00B618AD">
      <w:pPr>
        <w:spacing w:after="0" w:line="250" w:lineRule="auto"/>
      </w:pPr>
      <w:r>
        <w:br/>
      </w:r>
      <w:r w:rsidR="00624513">
        <w:t xml:space="preserve">This is a summary of the MWG’s discussions in </w:t>
      </w:r>
      <w:r w:rsidR="00275175">
        <w:t>St. Petersburg</w:t>
      </w:r>
      <w:r w:rsidR="00624513">
        <w:t xml:space="preserve">. </w:t>
      </w:r>
      <w:r w:rsidR="00624513">
        <w:rPr>
          <w:color w:val="0D0D0D"/>
        </w:rPr>
        <w:t xml:space="preserve">The full minutes, presentations and papers from this meeting (and previous meetings) are available (without the need to register) at: </w:t>
      </w:r>
    </w:p>
    <w:p w14:paraId="1E723786" w14:textId="77777777" w:rsidR="00F80DFB" w:rsidRDefault="00D93050">
      <w:pPr>
        <w:spacing w:after="0"/>
      </w:pPr>
      <w:hyperlink r:id="rId6">
        <w:r w:rsidR="00624513">
          <w:rPr>
            <w:color w:val="0000FF"/>
            <w:u w:val="single" w:color="0000FF"/>
          </w:rPr>
          <w:t>www.actuaries.org/mortalityupdates</w:t>
        </w:r>
      </w:hyperlink>
      <w:hyperlink r:id="rId7">
        <w:r w:rsidR="00624513">
          <w:t xml:space="preserve"> </w:t>
        </w:r>
      </w:hyperlink>
      <w:r w:rsidR="00624513">
        <w:rPr>
          <w:color w:val="0D0D0D"/>
        </w:rPr>
        <w:t xml:space="preserve"> </w:t>
      </w:r>
    </w:p>
    <w:p w14:paraId="1EC8D7C3" w14:textId="77777777" w:rsidR="00F80DFB" w:rsidRDefault="00624513">
      <w:pPr>
        <w:spacing w:after="0"/>
      </w:pPr>
      <w:r>
        <w:rPr>
          <w:color w:val="0F243E"/>
        </w:rPr>
        <w:t xml:space="preserve"> </w:t>
      </w:r>
    </w:p>
    <w:p w14:paraId="1A0A23A4" w14:textId="77777777" w:rsidR="00F80DFB" w:rsidRDefault="00624513">
      <w:pPr>
        <w:spacing w:after="0" w:line="239" w:lineRule="auto"/>
        <w:ind w:left="-5" w:hanging="10"/>
      </w:pPr>
      <w:r>
        <w:rPr>
          <w:color w:val="0F243E"/>
        </w:rPr>
        <w:t xml:space="preserve">This Update has translated versions in English, French, German, Italian, Japanese, Mandarin, Portuguese, Russian, Spanish and Turkish. </w:t>
      </w:r>
    </w:p>
    <w:p w14:paraId="12060F37" w14:textId="77777777" w:rsidR="00F80DFB" w:rsidRDefault="00624513">
      <w:pPr>
        <w:spacing w:after="64"/>
      </w:pPr>
      <w:r>
        <w:rPr>
          <w:color w:val="0F243E"/>
        </w:rPr>
        <w:t xml:space="preserve"> </w:t>
      </w:r>
    </w:p>
    <w:p w14:paraId="349CC01E" w14:textId="77777777" w:rsidR="00210C0E" w:rsidRDefault="00210C0E" w:rsidP="00770CE3">
      <w:pPr>
        <w:keepNext/>
        <w:keepLines/>
        <w:spacing w:after="0"/>
        <w:rPr>
          <w:rFonts w:ascii="Verdana" w:eastAsia="Verdana" w:hAnsi="Verdana" w:cs="Verdana"/>
          <w:b/>
          <w:color w:val="3366CC"/>
          <w:sz w:val="18"/>
          <w:lang w:val="fr-FR"/>
        </w:rPr>
      </w:pPr>
    </w:p>
    <w:p w14:paraId="4AD4CDCA" w14:textId="77777777" w:rsidR="00210C0E" w:rsidRDefault="00210C0E" w:rsidP="00770CE3">
      <w:pPr>
        <w:keepNext/>
        <w:keepLines/>
        <w:spacing w:after="0"/>
        <w:rPr>
          <w:rFonts w:ascii="Verdana" w:eastAsia="Verdana" w:hAnsi="Verdana" w:cs="Verdana"/>
          <w:b/>
          <w:color w:val="3366CC"/>
          <w:sz w:val="18"/>
          <w:lang w:val="fr-FR"/>
        </w:rPr>
      </w:pPr>
    </w:p>
    <w:p w14:paraId="7278498A" w14:textId="77777777" w:rsidR="00F80DFB" w:rsidRDefault="00624513" w:rsidP="00770CE3">
      <w:pPr>
        <w:keepNext/>
        <w:keepLines/>
        <w:spacing w:after="0"/>
      </w:pPr>
      <w:r>
        <w:rPr>
          <w:b/>
          <w:color w:val="0D0D0D"/>
        </w:rPr>
        <w:t xml:space="preserve">Your response and suggestions </w:t>
      </w:r>
    </w:p>
    <w:p w14:paraId="0BAA1AFD" w14:textId="77777777" w:rsidR="00F80DFB" w:rsidRDefault="00624513" w:rsidP="00770CE3">
      <w:pPr>
        <w:keepNext/>
        <w:keepLines/>
        <w:spacing w:after="1" w:line="238" w:lineRule="auto"/>
        <w:ind w:left="-5" w:right="-12" w:hanging="10"/>
      </w:pPr>
      <w:r>
        <w:rPr>
          <w:color w:val="0D0D0D"/>
        </w:rPr>
        <w:t xml:space="preserve">The IAA Mortality Working Group welcomes your input and suggestions on our work. Please address any comments to the </w:t>
      </w:r>
      <w:r>
        <w:t>Mortality Working Group at</w:t>
      </w:r>
      <w:r>
        <w:rPr>
          <w:color w:val="0D0D0D"/>
        </w:rPr>
        <w:t xml:space="preserve"> </w:t>
      </w:r>
      <w:r>
        <w:rPr>
          <w:color w:val="0000FF"/>
          <w:u w:val="single" w:color="0000FF"/>
        </w:rPr>
        <w:t>iaamwg@actuaries.org</w:t>
      </w:r>
      <w:r>
        <w:t xml:space="preserve">  </w:t>
      </w:r>
    </w:p>
    <w:p w14:paraId="17DA0619" w14:textId="77777777" w:rsidR="00F80DFB" w:rsidRDefault="00624513">
      <w:pPr>
        <w:spacing w:after="0"/>
      </w:pPr>
      <w:r>
        <w:t xml:space="preserve"> </w:t>
      </w:r>
    </w:p>
    <w:p w14:paraId="63170764" w14:textId="77777777" w:rsidR="00F80DFB" w:rsidRDefault="00624513">
      <w:pPr>
        <w:spacing w:after="0"/>
      </w:pPr>
      <w:r>
        <w:rPr>
          <w:b/>
        </w:rPr>
        <w:t xml:space="preserve">References </w:t>
      </w:r>
    </w:p>
    <w:p w14:paraId="058361C5" w14:textId="77777777" w:rsidR="00F80DFB" w:rsidRDefault="00624513">
      <w:pPr>
        <w:spacing w:after="5" w:line="249" w:lineRule="auto"/>
        <w:ind w:left="-5" w:right="1900" w:hanging="10"/>
      </w:pPr>
      <w:r>
        <w:t xml:space="preserve">Mortality Working Group Information Base: </w:t>
      </w:r>
      <w:hyperlink r:id="rId8">
        <w:r>
          <w:rPr>
            <w:color w:val="0000FF"/>
          </w:rPr>
          <w:t>http://www.actuaries.org/mortalityinfo</w:t>
        </w:r>
      </w:hyperlink>
      <w:hyperlink r:id="rId9">
        <w:r>
          <w:t xml:space="preserve"> </w:t>
        </w:r>
      </w:hyperlink>
    </w:p>
    <w:p w14:paraId="1C4A7F43" w14:textId="77777777" w:rsidR="00F80DFB" w:rsidRDefault="00624513">
      <w:pPr>
        <w:spacing w:after="0"/>
      </w:pPr>
      <w:r>
        <w:t xml:space="preserve"> </w:t>
      </w:r>
    </w:p>
    <w:p w14:paraId="7100E5C2" w14:textId="77777777" w:rsidR="00F80DFB" w:rsidRDefault="00624513">
      <w:pPr>
        <w:spacing w:after="5" w:line="249" w:lineRule="auto"/>
        <w:ind w:left="-5" w:right="2513" w:hanging="10"/>
      </w:pPr>
      <w:r>
        <w:t>IAA Mortality Working Group Updates</w:t>
      </w:r>
      <w:r>
        <w:rPr>
          <w:color w:val="0000FF"/>
        </w:rPr>
        <w:t xml:space="preserve">:  </w:t>
      </w:r>
      <w:hyperlink r:id="rId10">
        <w:r>
          <w:rPr>
            <w:color w:val="0000FF"/>
          </w:rPr>
          <w:t>www.actuaries.org/mortalityupdates</w:t>
        </w:r>
      </w:hyperlink>
      <w:hyperlink r:id="rId11">
        <w:r>
          <w:t xml:space="preserve"> </w:t>
        </w:r>
      </w:hyperlink>
    </w:p>
    <w:p w14:paraId="4A7B3B10" w14:textId="3E52866E" w:rsidR="00F80DFB" w:rsidRDefault="00624513">
      <w:pPr>
        <w:spacing w:after="0"/>
      </w:pPr>
      <w:r>
        <w:t xml:space="preserve"> </w:t>
      </w:r>
    </w:p>
    <w:p w14:paraId="7EFBFB55" w14:textId="23E5DB39" w:rsidR="00210C0E" w:rsidRDefault="00210C0E">
      <w:pPr>
        <w:spacing w:after="0"/>
      </w:pPr>
    </w:p>
    <w:p w14:paraId="4417F08D" w14:textId="657418B4" w:rsidR="00210C0E" w:rsidRDefault="00210C0E">
      <w:pPr>
        <w:spacing w:after="0"/>
      </w:pPr>
    </w:p>
    <w:p w14:paraId="31E4962C" w14:textId="2961D53A" w:rsidR="00210C0E" w:rsidRDefault="00210C0E">
      <w:pPr>
        <w:spacing w:after="0"/>
      </w:pPr>
    </w:p>
    <w:p w14:paraId="293DD13D" w14:textId="4390C95B" w:rsidR="00210C0E" w:rsidRDefault="00210C0E">
      <w:pPr>
        <w:spacing w:after="0"/>
      </w:pPr>
    </w:p>
    <w:p w14:paraId="24898ABE" w14:textId="4B9C56F7" w:rsidR="00210C0E" w:rsidRDefault="00210C0E">
      <w:pPr>
        <w:spacing w:after="0"/>
      </w:pPr>
    </w:p>
    <w:p w14:paraId="47C1278F" w14:textId="58176D05" w:rsidR="00210C0E" w:rsidRDefault="00210C0E">
      <w:pPr>
        <w:spacing w:after="0"/>
      </w:pPr>
    </w:p>
    <w:p w14:paraId="15BE2B04" w14:textId="3B84F5E5" w:rsidR="00210C0E" w:rsidRDefault="00210C0E">
      <w:pPr>
        <w:spacing w:after="0"/>
      </w:pPr>
    </w:p>
    <w:p w14:paraId="76DA29EE" w14:textId="77777777" w:rsidR="00210C0E" w:rsidRDefault="00210C0E">
      <w:pPr>
        <w:spacing w:after="0"/>
      </w:pPr>
    </w:p>
    <w:p w14:paraId="7495AAC1" w14:textId="77777777" w:rsidR="00F80DFB" w:rsidRPr="0074585A" w:rsidRDefault="00624513">
      <w:pPr>
        <w:spacing w:after="0"/>
        <w:ind w:left="10" w:right="9" w:hanging="10"/>
        <w:jc w:val="center"/>
        <w:rPr>
          <w:lang w:val="fr-FR"/>
        </w:rPr>
      </w:pPr>
      <w:r w:rsidRPr="0074585A">
        <w:rPr>
          <w:rFonts w:ascii="Verdana" w:eastAsia="Verdana" w:hAnsi="Verdana" w:cs="Verdana"/>
          <w:b/>
          <w:color w:val="3366CC"/>
          <w:sz w:val="18"/>
          <w:lang w:val="fr-FR"/>
        </w:rPr>
        <w:t xml:space="preserve">International </w:t>
      </w:r>
      <w:proofErr w:type="spellStart"/>
      <w:r w:rsidRPr="0074585A">
        <w:rPr>
          <w:rFonts w:ascii="Verdana" w:eastAsia="Verdana" w:hAnsi="Verdana" w:cs="Verdana"/>
          <w:b/>
          <w:color w:val="3366CC"/>
          <w:sz w:val="18"/>
          <w:lang w:val="fr-FR"/>
        </w:rPr>
        <w:t>Actuarial</w:t>
      </w:r>
      <w:proofErr w:type="spellEnd"/>
      <w:r w:rsidRPr="0074585A">
        <w:rPr>
          <w:rFonts w:ascii="Verdana" w:eastAsia="Verdana" w:hAnsi="Verdana" w:cs="Verdana"/>
          <w:b/>
          <w:color w:val="3366CC"/>
          <w:sz w:val="18"/>
          <w:lang w:val="fr-FR"/>
        </w:rPr>
        <w:t xml:space="preserve"> Association | Association Actuarielle Internationale</w:t>
      </w:r>
      <w:r w:rsidRPr="0074585A">
        <w:rPr>
          <w:rFonts w:ascii="Verdana" w:eastAsia="Verdana" w:hAnsi="Verdana" w:cs="Verdana"/>
          <w:color w:val="3366CC"/>
          <w:sz w:val="18"/>
          <w:lang w:val="fr-FR"/>
        </w:rPr>
        <w:t xml:space="preserve"> </w:t>
      </w:r>
    </w:p>
    <w:p w14:paraId="2CC49511" w14:textId="77777777" w:rsidR="00F80DFB" w:rsidRDefault="00624513">
      <w:pPr>
        <w:spacing w:after="30" w:line="219" w:lineRule="auto"/>
        <w:ind w:left="1503" w:right="1497" w:hanging="10"/>
        <w:jc w:val="center"/>
      </w:pPr>
      <w:r>
        <w:rPr>
          <w:rFonts w:ascii="Verdana" w:eastAsia="Verdana" w:hAnsi="Verdana" w:cs="Verdana"/>
          <w:color w:val="3366CC"/>
          <w:sz w:val="18"/>
        </w:rPr>
        <w:t>99 Metcalfe Suite 1203 Ottawa, ON K1P 6L</w:t>
      </w:r>
      <w:proofErr w:type="gramStart"/>
      <w:r>
        <w:rPr>
          <w:rFonts w:ascii="Verdana" w:eastAsia="Verdana" w:hAnsi="Verdana" w:cs="Verdana"/>
          <w:color w:val="3366CC"/>
          <w:sz w:val="18"/>
        </w:rPr>
        <w:t>7  Canada</w:t>
      </w:r>
      <w:proofErr w:type="gramEnd"/>
      <w:r>
        <w:rPr>
          <w:rFonts w:ascii="Verdana" w:eastAsia="Verdana" w:hAnsi="Verdana" w:cs="Verdana"/>
          <w:color w:val="3366CC"/>
          <w:sz w:val="18"/>
        </w:rPr>
        <w:t xml:space="preserve">  </w:t>
      </w:r>
    </w:p>
    <w:p w14:paraId="0C9776D5" w14:textId="77777777" w:rsidR="00F80DFB" w:rsidRPr="00B1333E" w:rsidRDefault="00624513">
      <w:pPr>
        <w:spacing w:after="30" w:line="219" w:lineRule="auto"/>
        <w:ind w:left="1503" w:right="1432" w:hanging="10"/>
        <w:jc w:val="center"/>
        <w:rPr>
          <w:lang w:val="de-DE"/>
        </w:rPr>
      </w:pPr>
      <w:r w:rsidRPr="00B1333E">
        <w:rPr>
          <w:rFonts w:ascii="Verdana" w:eastAsia="Verdana" w:hAnsi="Verdana" w:cs="Verdana"/>
          <w:color w:val="3366CC"/>
          <w:sz w:val="18"/>
          <w:lang w:val="de-DE"/>
        </w:rPr>
        <w:t xml:space="preserve">Tel: 1-613-236-0886 | Fax: 1-613-236-1386 </w:t>
      </w:r>
      <w:r w:rsidRPr="00B1333E">
        <w:rPr>
          <w:rFonts w:ascii="Verdana" w:eastAsia="Verdana" w:hAnsi="Verdana" w:cs="Verdana"/>
          <w:color w:val="0000FF"/>
          <w:sz w:val="18"/>
          <w:u w:val="single" w:color="0000FF"/>
          <w:lang w:val="de-DE"/>
        </w:rPr>
        <w:t>secretariat@actuaries.org</w:t>
      </w:r>
      <w:r w:rsidRPr="00B1333E">
        <w:rPr>
          <w:rFonts w:ascii="Verdana" w:eastAsia="Verdana" w:hAnsi="Verdana" w:cs="Verdana"/>
          <w:color w:val="3366CC"/>
          <w:sz w:val="18"/>
          <w:lang w:val="de-DE"/>
        </w:rPr>
        <w:t xml:space="preserve"> | </w:t>
      </w:r>
      <w:r w:rsidRPr="00B1333E">
        <w:rPr>
          <w:rFonts w:ascii="Verdana" w:eastAsia="Verdana" w:hAnsi="Verdana" w:cs="Verdana"/>
          <w:color w:val="0000FF"/>
          <w:sz w:val="18"/>
          <w:u w:val="single" w:color="0000FF"/>
          <w:lang w:val="de-DE"/>
        </w:rPr>
        <w:t>www.actuaries.org</w:t>
      </w:r>
      <w:r w:rsidRPr="00B1333E">
        <w:rPr>
          <w:lang w:val="de-DE"/>
        </w:rPr>
        <w:t xml:space="preserve"> </w:t>
      </w:r>
    </w:p>
    <w:sectPr w:rsidR="00F80DFB" w:rsidRPr="00B1333E">
      <w:pgSz w:w="12242" w:h="15842"/>
      <w:pgMar w:top="1416" w:right="1414" w:bottom="394"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5A5"/>
    <w:multiLevelType w:val="hybridMultilevel"/>
    <w:tmpl w:val="B05AF7A0"/>
    <w:lvl w:ilvl="0" w:tplc="808A9F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60674E">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33CF766">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2EE062E">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5E05706">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9E8375A">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0A253CC">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CF8CDB4">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DBE4C6A">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7C5279"/>
    <w:multiLevelType w:val="hybridMultilevel"/>
    <w:tmpl w:val="CF523080"/>
    <w:lvl w:ilvl="0" w:tplc="04090001">
      <w:start w:val="1"/>
      <w:numFmt w:val="bullet"/>
      <w:lvlText w:val=""/>
      <w:lvlJc w:val="left"/>
      <w:pPr>
        <w:ind w:left="375"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095" w:hanging="360"/>
      </w:pPr>
      <w:rPr>
        <w:rFonts w:ascii="Courier New" w:hAnsi="Courier New" w:cs="Courier New" w:hint="default"/>
      </w:rPr>
    </w:lvl>
    <w:lvl w:ilvl="2" w:tplc="10090005" w:tentative="1">
      <w:start w:val="1"/>
      <w:numFmt w:val="bullet"/>
      <w:lvlText w:val=""/>
      <w:lvlJc w:val="left"/>
      <w:pPr>
        <w:ind w:left="1815" w:hanging="360"/>
      </w:pPr>
      <w:rPr>
        <w:rFonts w:ascii="Wingdings" w:hAnsi="Wingdings" w:hint="default"/>
      </w:rPr>
    </w:lvl>
    <w:lvl w:ilvl="3" w:tplc="10090001" w:tentative="1">
      <w:start w:val="1"/>
      <w:numFmt w:val="bullet"/>
      <w:lvlText w:val=""/>
      <w:lvlJc w:val="left"/>
      <w:pPr>
        <w:ind w:left="2535" w:hanging="360"/>
      </w:pPr>
      <w:rPr>
        <w:rFonts w:ascii="Symbol" w:hAnsi="Symbol" w:hint="default"/>
      </w:rPr>
    </w:lvl>
    <w:lvl w:ilvl="4" w:tplc="10090003" w:tentative="1">
      <w:start w:val="1"/>
      <w:numFmt w:val="bullet"/>
      <w:lvlText w:val="o"/>
      <w:lvlJc w:val="left"/>
      <w:pPr>
        <w:ind w:left="3255" w:hanging="360"/>
      </w:pPr>
      <w:rPr>
        <w:rFonts w:ascii="Courier New" w:hAnsi="Courier New" w:cs="Courier New" w:hint="default"/>
      </w:rPr>
    </w:lvl>
    <w:lvl w:ilvl="5" w:tplc="10090005" w:tentative="1">
      <w:start w:val="1"/>
      <w:numFmt w:val="bullet"/>
      <w:lvlText w:val=""/>
      <w:lvlJc w:val="left"/>
      <w:pPr>
        <w:ind w:left="3975" w:hanging="360"/>
      </w:pPr>
      <w:rPr>
        <w:rFonts w:ascii="Wingdings" w:hAnsi="Wingdings" w:hint="default"/>
      </w:rPr>
    </w:lvl>
    <w:lvl w:ilvl="6" w:tplc="10090001" w:tentative="1">
      <w:start w:val="1"/>
      <w:numFmt w:val="bullet"/>
      <w:lvlText w:val=""/>
      <w:lvlJc w:val="left"/>
      <w:pPr>
        <w:ind w:left="4695" w:hanging="360"/>
      </w:pPr>
      <w:rPr>
        <w:rFonts w:ascii="Symbol" w:hAnsi="Symbol" w:hint="default"/>
      </w:rPr>
    </w:lvl>
    <w:lvl w:ilvl="7" w:tplc="10090003" w:tentative="1">
      <w:start w:val="1"/>
      <w:numFmt w:val="bullet"/>
      <w:lvlText w:val="o"/>
      <w:lvlJc w:val="left"/>
      <w:pPr>
        <w:ind w:left="5415" w:hanging="360"/>
      </w:pPr>
      <w:rPr>
        <w:rFonts w:ascii="Courier New" w:hAnsi="Courier New" w:cs="Courier New" w:hint="default"/>
      </w:rPr>
    </w:lvl>
    <w:lvl w:ilvl="8" w:tplc="10090005" w:tentative="1">
      <w:start w:val="1"/>
      <w:numFmt w:val="bullet"/>
      <w:lvlText w:val=""/>
      <w:lvlJc w:val="left"/>
      <w:pPr>
        <w:ind w:left="6135" w:hanging="360"/>
      </w:pPr>
      <w:rPr>
        <w:rFonts w:ascii="Wingdings" w:hAnsi="Wingdings" w:hint="default"/>
      </w:rPr>
    </w:lvl>
  </w:abstractNum>
  <w:abstractNum w:abstractNumId="2" w15:restartNumberingAfterBreak="0">
    <w:nsid w:val="78EF422D"/>
    <w:multiLevelType w:val="hybridMultilevel"/>
    <w:tmpl w:val="04F2387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7E9A34B2"/>
    <w:multiLevelType w:val="hybridMultilevel"/>
    <w:tmpl w:val="8D50C9CE"/>
    <w:lvl w:ilvl="0" w:tplc="B2EE062E">
      <w:start w:val="1"/>
      <w:numFmt w:val="bullet"/>
      <w:lvlText w:val="•"/>
      <w:lvlJc w:val="left"/>
      <w:pPr>
        <w:ind w:left="36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FB"/>
    <w:rsid w:val="001608A6"/>
    <w:rsid w:val="00210C0E"/>
    <w:rsid w:val="00275175"/>
    <w:rsid w:val="00321817"/>
    <w:rsid w:val="004B01CF"/>
    <w:rsid w:val="00624513"/>
    <w:rsid w:val="00652F4F"/>
    <w:rsid w:val="006616A8"/>
    <w:rsid w:val="006B4035"/>
    <w:rsid w:val="0074585A"/>
    <w:rsid w:val="00770CE3"/>
    <w:rsid w:val="007F5E57"/>
    <w:rsid w:val="008B6043"/>
    <w:rsid w:val="009070AC"/>
    <w:rsid w:val="00B1333E"/>
    <w:rsid w:val="00B618AD"/>
    <w:rsid w:val="00B8496C"/>
    <w:rsid w:val="00C73D66"/>
    <w:rsid w:val="00CC4FB5"/>
    <w:rsid w:val="00D93050"/>
    <w:rsid w:val="00EC4778"/>
    <w:rsid w:val="00F31D6C"/>
    <w:rsid w:val="00F80DFB"/>
    <w:rsid w:val="00FF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6B20"/>
  <w15:docId w15:val="{1ED0FFFC-719F-4A6F-B812-17D0F133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043"/>
    <w:rPr>
      <w:rFonts w:ascii="Tahoma" w:eastAsia="Calibri" w:hAnsi="Tahoma" w:cs="Tahoma"/>
      <w:color w:val="000000"/>
      <w:sz w:val="16"/>
      <w:szCs w:val="16"/>
    </w:rPr>
  </w:style>
  <w:style w:type="paragraph" w:styleId="ListParagraph">
    <w:name w:val="List Paragraph"/>
    <w:basedOn w:val="Normal"/>
    <w:uiPriority w:val="34"/>
    <w:qFormat/>
    <w:rsid w:val="008B6043"/>
    <w:pPr>
      <w:ind w:left="720"/>
      <w:contextualSpacing/>
    </w:pPr>
  </w:style>
  <w:style w:type="character" w:styleId="CommentReference">
    <w:name w:val="annotation reference"/>
    <w:basedOn w:val="DefaultParagraphFont"/>
    <w:uiPriority w:val="99"/>
    <w:semiHidden/>
    <w:unhideWhenUsed/>
    <w:rsid w:val="008B6043"/>
    <w:rPr>
      <w:sz w:val="16"/>
      <w:szCs w:val="16"/>
    </w:rPr>
  </w:style>
  <w:style w:type="paragraph" w:styleId="CommentText">
    <w:name w:val="annotation text"/>
    <w:basedOn w:val="Normal"/>
    <w:link w:val="CommentTextChar"/>
    <w:uiPriority w:val="99"/>
    <w:semiHidden/>
    <w:unhideWhenUsed/>
    <w:rsid w:val="008B6043"/>
    <w:pPr>
      <w:spacing w:line="240" w:lineRule="auto"/>
    </w:pPr>
    <w:rPr>
      <w:sz w:val="20"/>
      <w:szCs w:val="20"/>
    </w:rPr>
  </w:style>
  <w:style w:type="character" w:customStyle="1" w:styleId="CommentTextChar">
    <w:name w:val="Comment Text Char"/>
    <w:basedOn w:val="DefaultParagraphFont"/>
    <w:link w:val="CommentText"/>
    <w:uiPriority w:val="99"/>
    <w:semiHidden/>
    <w:rsid w:val="008B604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B6043"/>
    <w:rPr>
      <w:b/>
      <w:bCs/>
    </w:rPr>
  </w:style>
  <w:style w:type="character" w:customStyle="1" w:styleId="CommentSubjectChar">
    <w:name w:val="Comment Subject Char"/>
    <w:basedOn w:val="CommentTextChar"/>
    <w:link w:val="CommentSubject"/>
    <w:uiPriority w:val="99"/>
    <w:semiHidden/>
    <w:rsid w:val="008B6043"/>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ctuaries.org/mortality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tuaries.org/mortalityupd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uaries.org/mortalityupdates" TargetMode="External"/><Relationship Id="rId11" Type="http://schemas.openxmlformats.org/officeDocument/2006/relationships/hyperlink" Target="http://www.actuaries.org/mortalityupdates" TargetMode="External"/><Relationship Id="rId5" Type="http://schemas.openxmlformats.org/officeDocument/2006/relationships/image" Target="media/image1.jpg"/><Relationship Id="rId10" Type="http://schemas.openxmlformats.org/officeDocument/2006/relationships/hyperlink" Target="http://www.actuaries.org/mortalityupdates" TargetMode="External"/><Relationship Id="rId4" Type="http://schemas.openxmlformats.org/officeDocument/2006/relationships/webSettings" Target="webSettings.xml"/><Relationship Id="rId9" Type="http://schemas.openxmlformats.org/officeDocument/2006/relationships/hyperlink" Target="http://www.actuaries.org/mortality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Munich Re Group</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Chrisitan Levac</dc:creator>
  <cp:lastModifiedBy>Nancy Kelly</cp:lastModifiedBy>
  <cp:revision>4</cp:revision>
  <cp:lastPrinted>2016-08-17T19:24:00Z</cp:lastPrinted>
  <dcterms:created xsi:type="dcterms:W3CDTF">2016-07-20T14:34:00Z</dcterms:created>
  <dcterms:modified xsi:type="dcterms:W3CDTF">2016-08-17T19:25:00Z</dcterms:modified>
</cp:coreProperties>
</file>